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D916E" w14:textId="657C480D" w:rsidR="006E1818" w:rsidRPr="00A130DD" w:rsidRDefault="00A130DD" w:rsidP="00E343C3">
      <w:pPr>
        <w:pStyle w:val="Titel"/>
        <w:rPr>
          <w:b w:val="0"/>
        </w:rPr>
      </w:pPr>
      <w:bookmarkStart w:id="0" w:name="_Hlk47620816"/>
      <w:bookmarkEnd w:id="0"/>
      <w:r w:rsidRPr="00A130DD">
        <w:t>Wohnen im Waldviertel – P</w:t>
      </w:r>
      <w:r w:rsidR="0096463C">
        <w:t>RESSE</w:t>
      </w:r>
      <w:r>
        <w:t>INFO</w:t>
      </w:r>
    </w:p>
    <w:p w14:paraId="37C3E5EA" w14:textId="77777777" w:rsidR="00A46DF2" w:rsidRDefault="00A46DF2" w:rsidP="00A130DD">
      <w:pPr>
        <w:tabs>
          <w:tab w:val="left" w:pos="1253"/>
        </w:tabs>
        <w:jc w:val="right"/>
      </w:pPr>
    </w:p>
    <w:p w14:paraId="05820D42" w14:textId="3F9CC8C7" w:rsidR="006E1818" w:rsidRDefault="00E5404B" w:rsidP="00A130DD">
      <w:pPr>
        <w:tabs>
          <w:tab w:val="left" w:pos="1253"/>
        </w:tabs>
        <w:jc w:val="right"/>
      </w:pPr>
      <w:r>
        <w:t>Horn</w:t>
      </w:r>
      <w:r w:rsidR="00A130DD">
        <w:t xml:space="preserve">, </w:t>
      </w:r>
      <w:r w:rsidR="004F7138">
        <w:t xml:space="preserve">am </w:t>
      </w:r>
      <w:r w:rsidR="006916E4">
        <w:t>2</w:t>
      </w:r>
      <w:r w:rsidR="00FB396A">
        <w:t>8</w:t>
      </w:r>
      <w:r w:rsidR="00DE21B8">
        <w:t>.</w:t>
      </w:r>
      <w:r w:rsidR="000D1C12">
        <w:t xml:space="preserve"> </w:t>
      </w:r>
      <w:r w:rsidR="00FB396A">
        <w:t>Mai</w:t>
      </w:r>
      <w:r w:rsidR="00396F5D">
        <w:t xml:space="preserve"> </w:t>
      </w:r>
      <w:r w:rsidR="000D1C12">
        <w:t>202</w:t>
      </w:r>
      <w:r w:rsidR="00FB396A">
        <w:t>5</w:t>
      </w:r>
    </w:p>
    <w:p w14:paraId="1389AF5A" w14:textId="2518F4F1" w:rsidR="00DC63D4" w:rsidRPr="00F2068B" w:rsidRDefault="003D3329" w:rsidP="00183908">
      <w:pPr>
        <w:pStyle w:val="berschrift1"/>
        <w:spacing w:before="480" w:after="0"/>
        <w:rPr>
          <w:sz w:val="40"/>
          <w:szCs w:val="40"/>
        </w:rPr>
      </w:pPr>
      <w:r>
        <w:rPr>
          <w:sz w:val="40"/>
          <w:szCs w:val="40"/>
        </w:rPr>
        <w:t>Es braucht mehr Zuzug!</w:t>
      </w:r>
    </w:p>
    <w:p w14:paraId="2FFB6FC1" w14:textId="42D53850" w:rsidR="005F5BBC" w:rsidRDefault="003D3329" w:rsidP="00DC63D4">
      <w:pPr>
        <w:pStyle w:val="StandardWeb"/>
        <w:spacing w:before="0" w:beforeAutospacing="0" w:after="240" w:afterAutospacing="0"/>
        <w:outlineLvl w:val="0"/>
        <w:rPr>
          <w:rFonts w:ascii="Verdana" w:hAnsi="Verdana"/>
          <w:i/>
          <w:color w:val="000000" w:themeColor="text1"/>
          <w:sz w:val="22"/>
          <w:szCs w:val="22"/>
        </w:rPr>
      </w:pPr>
      <w:r>
        <w:rPr>
          <w:rFonts w:ascii="Verdana" w:hAnsi="Verdana"/>
          <w:i/>
          <w:color w:val="000000" w:themeColor="text1"/>
          <w:sz w:val="22"/>
          <w:szCs w:val="22"/>
        </w:rPr>
        <w:t xml:space="preserve">Die gute Nachricht zuerst. Im Jahr 2024 sind laut </w:t>
      </w:r>
      <w:r w:rsidR="00F50353">
        <w:rPr>
          <w:rFonts w:ascii="Verdana" w:hAnsi="Verdana"/>
          <w:i/>
          <w:color w:val="000000" w:themeColor="text1"/>
          <w:sz w:val="22"/>
          <w:szCs w:val="22"/>
        </w:rPr>
        <w:t xml:space="preserve">der brandneuen Auswertung der </w:t>
      </w:r>
      <w:r>
        <w:rPr>
          <w:rFonts w:ascii="Verdana" w:hAnsi="Verdana"/>
          <w:i/>
          <w:color w:val="000000" w:themeColor="text1"/>
          <w:sz w:val="22"/>
          <w:szCs w:val="22"/>
        </w:rPr>
        <w:t>Statistik Austria</w:t>
      </w:r>
      <w:r>
        <w:rPr>
          <w:rStyle w:val="Funotenzeichen"/>
          <w:rFonts w:ascii="Verdana" w:hAnsi="Verdana"/>
          <w:i/>
          <w:color w:val="000000" w:themeColor="text1"/>
          <w:sz w:val="22"/>
          <w:szCs w:val="22"/>
        </w:rPr>
        <w:footnoteReference w:id="1"/>
      </w:r>
      <w:r>
        <w:rPr>
          <w:rFonts w:ascii="Verdana" w:hAnsi="Verdana"/>
          <w:i/>
          <w:color w:val="000000" w:themeColor="text1"/>
          <w:sz w:val="22"/>
          <w:szCs w:val="22"/>
        </w:rPr>
        <w:t xml:space="preserve"> wieder </w:t>
      </w:r>
      <w:r w:rsidR="00FB396A">
        <w:rPr>
          <w:rFonts w:ascii="Verdana" w:hAnsi="Verdana"/>
          <w:i/>
          <w:color w:val="000000" w:themeColor="text1"/>
          <w:sz w:val="22"/>
          <w:szCs w:val="22"/>
        </w:rPr>
        <w:t>mehr Menschen ins Walviertel gezogen als weggezogen</w:t>
      </w:r>
      <w:r w:rsidR="00F50353">
        <w:rPr>
          <w:rFonts w:ascii="Verdana" w:hAnsi="Verdana"/>
          <w:i/>
          <w:color w:val="000000" w:themeColor="text1"/>
          <w:sz w:val="22"/>
          <w:szCs w:val="22"/>
        </w:rPr>
        <w:t xml:space="preserve"> sind</w:t>
      </w:r>
      <w:r w:rsidR="00FB396A">
        <w:rPr>
          <w:rFonts w:ascii="Verdana" w:hAnsi="Verdana"/>
          <w:i/>
          <w:color w:val="000000" w:themeColor="text1"/>
          <w:sz w:val="22"/>
          <w:szCs w:val="22"/>
        </w:rPr>
        <w:t xml:space="preserve">. </w:t>
      </w:r>
      <w:bookmarkStart w:id="1" w:name="_Hlk175313478"/>
      <w:r w:rsidR="00FB396A">
        <w:rPr>
          <w:rFonts w:ascii="Verdana" w:hAnsi="Verdana"/>
          <w:i/>
          <w:color w:val="000000" w:themeColor="text1"/>
          <w:sz w:val="22"/>
          <w:szCs w:val="22"/>
        </w:rPr>
        <w:t>Die schlechte Nachricht</w:t>
      </w:r>
      <w:r w:rsidR="00F50353">
        <w:rPr>
          <w:rFonts w:ascii="Verdana" w:hAnsi="Verdana"/>
          <w:i/>
          <w:color w:val="000000" w:themeColor="text1"/>
          <w:sz w:val="22"/>
          <w:szCs w:val="22"/>
        </w:rPr>
        <w:t>:</w:t>
      </w:r>
      <w:r w:rsidR="00FB396A">
        <w:rPr>
          <w:rFonts w:ascii="Verdana" w:hAnsi="Verdana"/>
          <w:i/>
          <w:color w:val="000000" w:themeColor="text1"/>
          <w:sz w:val="22"/>
          <w:szCs w:val="22"/>
        </w:rPr>
        <w:t xml:space="preserve"> Es sind </w:t>
      </w:r>
      <w:r w:rsidR="00CF31DD">
        <w:rPr>
          <w:rFonts w:ascii="Verdana" w:hAnsi="Verdana"/>
          <w:i/>
          <w:color w:val="000000" w:themeColor="text1"/>
          <w:sz w:val="22"/>
          <w:szCs w:val="22"/>
        </w:rPr>
        <w:t>1.120 meh</w:t>
      </w:r>
      <w:r w:rsidR="00FB396A">
        <w:rPr>
          <w:rFonts w:ascii="Verdana" w:hAnsi="Verdana"/>
          <w:i/>
          <w:color w:val="000000" w:themeColor="text1"/>
          <w:sz w:val="22"/>
          <w:szCs w:val="22"/>
        </w:rPr>
        <w:t>r Menschen gestorben, als geboren wurden.</w:t>
      </w:r>
    </w:p>
    <w:bookmarkEnd w:id="1"/>
    <w:p w14:paraId="368A8A68" w14:textId="5D94B27B" w:rsidR="00890246" w:rsidRDefault="004642DA" w:rsidP="00EA4DA8">
      <w:r>
        <w:rPr>
          <w:i/>
          <w:iCs/>
        </w:rPr>
        <w:t>Waldviertel</w:t>
      </w:r>
      <w:r w:rsidR="00203434" w:rsidRPr="00E000A9">
        <w:rPr>
          <w:i/>
          <w:iCs/>
        </w:rPr>
        <w:t xml:space="preserve"> (</w:t>
      </w:r>
      <w:r w:rsidR="005F5BBC">
        <w:rPr>
          <w:i/>
          <w:iCs/>
        </w:rPr>
        <w:t>2</w:t>
      </w:r>
      <w:r w:rsidR="003D3329">
        <w:rPr>
          <w:i/>
          <w:iCs/>
        </w:rPr>
        <w:t>8</w:t>
      </w:r>
      <w:r w:rsidR="000D1C12" w:rsidRPr="00E000A9">
        <w:rPr>
          <w:i/>
          <w:iCs/>
        </w:rPr>
        <w:t>.</w:t>
      </w:r>
      <w:r w:rsidR="00AF34AC" w:rsidRPr="00E000A9">
        <w:rPr>
          <w:i/>
          <w:iCs/>
        </w:rPr>
        <w:t>0</w:t>
      </w:r>
      <w:r w:rsidR="003D3329">
        <w:rPr>
          <w:i/>
          <w:iCs/>
        </w:rPr>
        <w:t>5</w:t>
      </w:r>
      <w:r w:rsidR="000D1C12" w:rsidRPr="00E000A9">
        <w:rPr>
          <w:i/>
          <w:iCs/>
        </w:rPr>
        <w:t>.202</w:t>
      </w:r>
      <w:r w:rsidR="003D3329">
        <w:rPr>
          <w:i/>
          <w:iCs/>
        </w:rPr>
        <w:t>5</w:t>
      </w:r>
      <w:r w:rsidR="00203434" w:rsidRPr="00E000A9">
        <w:rPr>
          <w:i/>
          <w:iCs/>
        </w:rPr>
        <w:t>):</w:t>
      </w:r>
      <w:r w:rsidR="00A036B9">
        <w:rPr>
          <w:i/>
          <w:iCs/>
        </w:rPr>
        <w:t xml:space="preserve"> </w:t>
      </w:r>
      <w:bookmarkStart w:id="2" w:name="_Hlk175313454"/>
      <w:bookmarkStart w:id="3" w:name="_Hlk158723075"/>
      <w:r w:rsidR="00F50353">
        <w:t xml:space="preserve">Es ist wieder amtlich: </w:t>
      </w:r>
      <w:r w:rsidR="003D3329">
        <w:t>D</w:t>
      </w:r>
      <w:r w:rsidR="00A25E49" w:rsidRPr="003D3329">
        <w:t xml:space="preserve">as </w:t>
      </w:r>
      <w:r w:rsidR="00A25E49">
        <w:rPr>
          <w:b/>
          <w:bCs/>
        </w:rPr>
        <w:t xml:space="preserve">Waldviertel </w:t>
      </w:r>
      <w:r w:rsidR="003D3329" w:rsidRPr="003D3329">
        <w:t>ist</w:t>
      </w:r>
      <w:r w:rsidR="003D3329">
        <w:rPr>
          <w:b/>
          <w:bCs/>
        </w:rPr>
        <w:t xml:space="preserve"> </w:t>
      </w:r>
      <w:r w:rsidR="00A25E49">
        <w:rPr>
          <w:b/>
          <w:bCs/>
        </w:rPr>
        <w:t>keine Abwanderungsregion</w:t>
      </w:r>
      <w:r w:rsidR="00F50353">
        <w:rPr>
          <w:b/>
          <w:bCs/>
        </w:rPr>
        <w:t>!</w:t>
      </w:r>
      <w:r w:rsidR="00076CDC">
        <w:t xml:space="preserve"> </w:t>
      </w:r>
      <w:r w:rsidR="003D3329">
        <w:t>Im vergangenen Jahr sind 5.752 Menschen in die NU</w:t>
      </w:r>
      <w:r w:rsidR="009461A9">
        <w:t>T</w:t>
      </w:r>
      <w:r w:rsidR="003D3329">
        <w:t>S3 Region Waldviertel</w:t>
      </w:r>
      <w:r w:rsidR="003D3329">
        <w:rPr>
          <w:rStyle w:val="Funotenzeichen"/>
        </w:rPr>
        <w:footnoteReference w:id="2"/>
      </w:r>
      <w:r w:rsidR="003D3329">
        <w:t xml:space="preserve"> gezogen und haben hier ihren Hauptwohnsitz gegründet. 1.397 </w:t>
      </w:r>
      <w:r w:rsidR="00062DAE">
        <w:t xml:space="preserve">davon </w:t>
      </w:r>
      <w:r w:rsidR="003D3329">
        <w:t xml:space="preserve">kamen aus Wien, 644 aus dem Wiener Umland. </w:t>
      </w:r>
      <w:bookmarkEnd w:id="2"/>
      <w:r w:rsidR="004223A1">
        <w:t xml:space="preserve">Somit </w:t>
      </w:r>
      <w:r w:rsidR="00890246">
        <w:t xml:space="preserve">zogen </w:t>
      </w:r>
      <w:r w:rsidR="003D3329">
        <w:rPr>
          <w:b/>
          <w:bCs/>
        </w:rPr>
        <w:t xml:space="preserve">406 </w:t>
      </w:r>
      <w:r w:rsidR="00890246" w:rsidRPr="0063658E">
        <w:rPr>
          <w:b/>
          <w:bCs/>
        </w:rPr>
        <w:t>Personen mehr zu als weg</w:t>
      </w:r>
      <w:r w:rsidR="00890246">
        <w:t xml:space="preserve">. </w:t>
      </w:r>
      <w:r w:rsidR="004D1D13">
        <w:t xml:space="preserve">Die Bezirke Gmünd, Horn, Zwettl sowie die Stadt Krems verzeichneten einzeln betrachtet ebenfalls eine positive Wanderungsbilanz. Die </w:t>
      </w:r>
      <w:r w:rsidR="0063658E">
        <w:t xml:space="preserve">Bezirke Krems-Land (mit minus </w:t>
      </w:r>
      <w:r w:rsidR="004D1D13">
        <w:t>6</w:t>
      </w:r>
      <w:r w:rsidR="0063658E">
        <w:t xml:space="preserve">4) </w:t>
      </w:r>
      <w:r w:rsidR="004D1D13">
        <w:t>und Waidhofen an der Thaya (minus 7) hatten ein leichtes Minus.</w:t>
      </w:r>
    </w:p>
    <w:p w14:paraId="36E8D506" w14:textId="77777777" w:rsidR="00B121E4" w:rsidRDefault="00B121E4" w:rsidP="00EA4DA8"/>
    <w:p w14:paraId="40AEE2BC" w14:textId="2857CE4C" w:rsidR="00B121E4" w:rsidRDefault="00B121E4" w:rsidP="00EA4DA8">
      <w:r>
        <w:t xml:space="preserve">Bei der Geburtenbilanz zeigt sich ein </w:t>
      </w:r>
      <w:proofErr w:type="gramStart"/>
      <w:r>
        <w:t>ganz anderes</w:t>
      </w:r>
      <w:proofErr w:type="gramEnd"/>
      <w:r>
        <w:t xml:space="preserve"> Bild.</w:t>
      </w:r>
      <w:r w:rsidRPr="00B121E4">
        <w:t xml:space="preserve"> </w:t>
      </w:r>
      <w:r w:rsidRPr="00A77888">
        <w:rPr>
          <w:b/>
          <w:bCs/>
        </w:rPr>
        <w:t>1.566 Geburten stehen 2.686 Sterbefällen gegenüber</w:t>
      </w:r>
      <w:r>
        <w:t xml:space="preserve">, was zu einem Minus von </w:t>
      </w:r>
      <w:r w:rsidRPr="00B121E4">
        <w:t>1.120</w:t>
      </w:r>
      <w:r>
        <w:t xml:space="preserve"> führt. </w:t>
      </w:r>
    </w:p>
    <w:p w14:paraId="143D4DEF" w14:textId="6FDE765A" w:rsidR="00B121E4" w:rsidRDefault="00B121E4" w:rsidP="00EA4DA8">
      <w:r>
        <w:t xml:space="preserve">Die </w:t>
      </w:r>
      <w:r w:rsidRPr="00B121E4">
        <w:t>positive Wanderung</w:t>
      </w:r>
      <w:r>
        <w:t xml:space="preserve"> schafft es </w:t>
      </w:r>
      <w:r w:rsidR="00A77888">
        <w:t xml:space="preserve">demnach </w:t>
      </w:r>
      <w:r>
        <w:t xml:space="preserve">(noch) nicht, </w:t>
      </w:r>
      <w:r w:rsidRPr="00B121E4">
        <w:t>die</w:t>
      </w:r>
      <w:r>
        <w:t>se stark</w:t>
      </w:r>
      <w:r w:rsidRPr="00B121E4">
        <w:t xml:space="preserve"> negative Geburtenbilanz aus</w:t>
      </w:r>
      <w:r>
        <w:t>zu</w:t>
      </w:r>
      <w:r w:rsidRPr="00B121E4">
        <w:t>gleichen und de</w:t>
      </w:r>
      <w:r>
        <w:t xml:space="preserve">n leichten </w:t>
      </w:r>
      <w:r w:rsidRPr="00B121E4">
        <w:t xml:space="preserve">Bevölkerungsrückgang </w:t>
      </w:r>
      <w:r>
        <w:t xml:space="preserve">gänzlich zu </w:t>
      </w:r>
      <w:r w:rsidRPr="00B121E4">
        <w:t>stoppen!</w:t>
      </w:r>
      <w:r w:rsidR="00A77888">
        <w:t xml:space="preserve"> Es braucht </w:t>
      </w:r>
      <w:r w:rsidR="00062DAE">
        <w:t xml:space="preserve">also auch in Zukunft mehr </w:t>
      </w:r>
      <w:r w:rsidR="00A77888">
        <w:t>Zuzug!</w:t>
      </w:r>
    </w:p>
    <w:p w14:paraId="36627ABC" w14:textId="77777777" w:rsidR="00890246" w:rsidRDefault="00890246" w:rsidP="00EA4DA8"/>
    <w:p w14:paraId="641D276B" w14:textId="05BA6536" w:rsidR="00984C92" w:rsidRDefault="00F50353" w:rsidP="00EA4DA8">
      <w:bookmarkStart w:id="4" w:name="_Hlk175313596"/>
      <w:r>
        <w:rPr>
          <w:b/>
          <w:bCs/>
        </w:rPr>
        <w:t>Patricia Keller</w:t>
      </w:r>
      <w:bookmarkEnd w:id="4"/>
      <w:r>
        <w:rPr>
          <w:b/>
          <w:bCs/>
        </w:rPr>
        <w:t xml:space="preserve"> </w:t>
      </w:r>
      <w:r w:rsidR="00062DAE" w:rsidRPr="004F103F">
        <w:rPr>
          <w:color w:val="8064A2" w:themeColor="accent4"/>
        </w:rPr>
        <w:t>(Foto)</w:t>
      </w:r>
      <w:r w:rsidR="00062DAE">
        <w:rPr>
          <w:color w:val="8064A2" w:themeColor="accent4"/>
        </w:rPr>
        <w:t xml:space="preserve"> </w:t>
      </w:r>
      <w:r>
        <w:rPr>
          <w:b/>
          <w:bCs/>
        </w:rPr>
        <w:t xml:space="preserve">und ihre Familie sind solche </w:t>
      </w:r>
      <w:proofErr w:type="spellStart"/>
      <w:r>
        <w:rPr>
          <w:b/>
          <w:bCs/>
        </w:rPr>
        <w:t>Wahl-</w:t>
      </w:r>
      <w:proofErr w:type="gramStart"/>
      <w:r>
        <w:rPr>
          <w:b/>
          <w:bCs/>
        </w:rPr>
        <w:t>Waldviertler:innen</w:t>
      </w:r>
      <w:proofErr w:type="spellEnd"/>
      <w:proofErr w:type="gramEnd"/>
    </w:p>
    <w:p w14:paraId="2435276A" w14:textId="77777777" w:rsidR="000E0CBF" w:rsidRDefault="000E0CBF" w:rsidP="00F50353"/>
    <w:p w14:paraId="7889DFCC" w14:textId="444B9F90" w:rsidR="00F50353" w:rsidRDefault="00062DAE" w:rsidP="00F50353">
      <w:r>
        <w:t xml:space="preserve">Patricia Keller </w:t>
      </w:r>
      <w:proofErr w:type="gramStart"/>
      <w:r w:rsidR="00F50353">
        <w:t>wollte</w:t>
      </w:r>
      <w:proofErr w:type="gramEnd"/>
      <w:r w:rsidR="00F50353">
        <w:t xml:space="preserve"> wie so viele andere, dass ihre Kinder am Land aufwachsen mit Bezug zur Natur und zu den Nachbaren! „Obwohl ich gebürtige Wienerin bin, habe ich mir immer ein Leben auf dem Land gewünscht. Damals war das aus familiären </w:t>
      </w:r>
      <w:r w:rsidR="00F50353">
        <w:lastRenderedPageBreak/>
        <w:t>Gründen aber nicht möglich. Doch als unsere Tochter in Wien den Kindergarten besuchte, wurde der Wunsch nach einem naturnahen Leben so stark, dass ich alle Hebel in Bewegung setzte. Gemeinsam wagten wir einen Neustart!“, so Patricia Keller.</w:t>
      </w:r>
    </w:p>
    <w:p w14:paraId="43A6DFA6" w14:textId="7C3BDC4A" w:rsidR="0063658E" w:rsidRPr="000B0BCE" w:rsidRDefault="00F50353" w:rsidP="00F50353">
      <w:r>
        <w:t>„Anfangs hielt mich mein Mann für verrückt, weil er befürchtete, keinen passenden Job zu finden. Doch das Gegenteil trat ein: Schon nach kurzer Zeit konnte er sich seinen Arbeitgeber praktisch aussuchen, da ihn mehrere Betriebe einstellen wollten. Heute hat er sogar eine kürzere Anfahrt zur Arbeit als früher in Wien.“</w:t>
      </w:r>
      <w:r w:rsidR="0063658E" w:rsidRPr="000B0BCE">
        <w:rPr>
          <w:noProof/>
        </w:rPr>
        <w:t xml:space="preserve"> </w:t>
      </w:r>
    </w:p>
    <w:p w14:paraId="1E58DD82" w14:textId="59BCBEE0" w:rsidR="0063658E" w:rsidRPr="000B0BCE" w:rsidRDefault="004F103F" w:rsidP="00EA4DA8">
      <w:pPr>
        <w:rPr>
          <w:rStyle w:val="Hyperlink"/>
        </w:rPr>
      </w:pPr>
      <w:r w:rsidRPr="000B0BCE">
        <w:t xml:space="preserve">(Diese und andere </w:t>
      </w:r>
      <w:r w:rsidRPr="000B0BCE">
        <w:rPr>
          <w:b/>
          <w:bCs/>
        </w:rPr>
        <w:t>Zuzugs-Geschichten</w:t>
      </w:r>
      <w:r w:rsidRPr="000B0BCE">
        <w:t xml:space="preserve"> nachzulesen unter </w:t>
      </w:r>
      <w:hyperlink r:id="rId7" w:history="1">
        <w:r w:rsidRPr="000B0BCE">
          <w:rPr>
            <w:rStyle w:val="Hyperlink"/>
          </w:rPr>
          <w:t>www.wohnen-im-waldviertel.at/aktuelles</w:t>
        </w:r>
      </w:hyperlink>
      <w:r w:rsidRPr="000B0BCE">
        <w:rPr>
          <w:rStyle w:val="Hyperlink"/>
        </w:rPr>
        <w:t>)</w:t>
      </w:r>
    </w:p>
    <w:p w14:paraId="5D554468" w14:textId="77777777" w:rsidR="004F103F" w:rsidRDefault="004F103F" w:rsidP="00EA4DA8"/>
    <w:p w14:paraId="1ED9E74E" w14:textId="14A66837" w:rsidR="00FD3C1F" w:rsidRDefault="00A02EB6" w:rsidP="00EA4DA8">
      <w:pPr>
        <w:rPr>
          <w:b/>
          <w:bCs/>
        </w:rPr>
      </w:pPr>
      <w:r>
        <w:rPr>
          <w:b/>
          <w:bCs/>
        </w:rPr>
        <w:t xml:space="preserve">Familien </w:t>
      </w:r>
      <w:r w:rsidR="00571F9A">
        <w:rPr>
          <w:b/>
          <w:bCs/>
        </w:rPr>
        <w:t>stärken den Altersbaum</w:t>
      </w:r>
    </w:p>
    <w:p w14:paraId="783929B5" w14:textId="77777777" w:rsidR="000E0CBF" w:rsidRDefault="000E0CBF" w:rsidP="00EA4DA8">
      <w:pPr>
        <w:rPr>
          <w:b/>
          <w:bCs/>
        </w:rPr>
      </w:pPr>
    </w:p>
    <w:p w14:paraId="0C1FD5F5" w14:textId="5831BDAC" w:rsidR="00571F9A" w:rsidRDefault="00571F9A" w:rsidP="00EA4DA8">
      <w:r>
        <w:t>Schaut man sich die Altersstruktur der Region anhand einer sogenannten „Alterspyramide“ an</w:t>
      </w:r>
      <w:r w:rsidR="00062DAE">
        <w:t xml:space="preserve"> </w:t>
      </w:r>
      <w:r w:rsidR="00062DAE" w:rsidRPr="004F103F">
        <w:rPr>
          <w:color w:val="8064A2" w:themeColor="accent4"/>
          <w:lang w:val="de-AT"/>
        </w:rPr>
        <w:t>(Diagramm)</w:t>
      </w:r>
      <w:r w:rsidR="00984C92">
        <w:t>,</w:t>
      </w:r>
      <w:r>
        <w:t xml:space="preserve"> wird schnell klar, mit einer Pyramide hat das schon lange nichts mehr zu tun. Die größte Gruppe im Waldviertel ist </w:t>
      </w:r>
      <w:r w:rsidR="00F03D3D">
        <w:t xml:space="preserve">zwischen 50 und 65 Jahre alt. Um unter anderem den Arbeitsmarkt zu sichern, braucht es junge Menschen, die zuziehen. </w:t>
      </w:r>
    </w:p>
    <w:bookmarkEnd w:id="3"/>
    <w:p w14:paraId="2F194497" w14:textId="7BE5D166" w:rsidR="00D232B5" w:rsidRDefault="00D232B5" w:rsidP="00D232B5"/>
    <w:p w14:paraId="7657AEC9" w14:textId="0E30C90D" w:rsidR="00F76F64" w:rsidRPr="00F76F64" w:rsidRDefault="00A51501" w:rsidP="00F76F64">
      <w:r>
        <w:rPr>
          <w:lang w:val="de-AT"/>
        </w:rPr>
        <w:t xml:space="preserve">Gott sei Dank gelingt das bereits, wenngleich nicht im notwendigen Ausmaß. </w:t>
      </w:r>
      <w:r w:rsidR="00F76F64">
        <w:rPr>
          <w:lang w:val="de-AT"/>
        </w:rPr>
        <w:t xml:space="preserve">Betrachtet man statistisch das Alter der Zugezogenen </w:t>
      </w:r>
      <w:r w:rsidR="00023BB4" w:rsidRPr="004F103F">
        <w:rPr>
          <w:color w:val="8064A2" w:themeColor="accent4"/>
          <w:lang w:val="de-AT"/>
        </w:rPr>
        <w:t xml:space="preserve">(Diagramm) </w:t>
      </w:r>
      <w:r w:rsidR="00F76F64">
        <w:rPr>
          <w:lang w:val="de-AT"/>
        </w:rPr>
        <w:t xml:space="preserve">wird klar, - </w:t>
      </w:r>
      <w:r w:rsidR="00F76F64" w:rsidRPr="008844AD">
        <w:rPr>
          <w:lang w:val="de-AT"/>
        </w:rPr>
        <w:t xml:space="preserve">es sind nicht nur „die Jungen“, die gehen, und „die Alten“, die kommen. Im Gegenteil. Die stärkste Gruppe im Zuzug </w:t>
      </w:r>
      <w:proofErr w:type="gramStart"/>
      <w:r w:rsidR="000E0CBF">
        <w:rPr>
          <w:lang w:val="de-AT"/>
        </w:rPr>
        <w:t>sind</w:t>
      </w:r>
      <w:proofErr w:type="gramEnd"/>
      <w:r w:rsidR="00F76F64" w:rsidRPr="008844AD">
        <w:rPr>
          <w:lang w:val="de-AT"/>
        </w:rPr>
        <w:t xml:space="preserve"> </w:t>
      </w:r>
      <w:r w:rsidR="00045667">
        <w:rPr>
          <w:lang w:val="de-AT"/>
        </w:rPr>
        <w:t>Menschen zwischen 20 und 3</w:t>
      </w:r>
      <w:r w:rsidR="00FD3C1F">
        <w:rPr>
          <w:lang w:val="de-AT"/>
        </w:rPr>
        <w:t>7</w:t>
      </w:r>
      <w:r w:rsidR="00045667">
        <w:rPr>
          <w:lang w:val="de-AT"/>
        </w:rPr>
        <w:t xml:space="preserve"> Jahren</w:t>
      </w:r>
      <w:r w:rsidR="00FD3C1F">
        <w:rPr>
          <w:lang w:val="de-AT"/>
        </w:rPr>
        <w:t xml:space="preserve">, </w:t>
      </w:r>
      <w:r w:rsidR="00F76F64" w:rsidRPr="008844AD">
        <w:rPr>
          <w:lang w:val="de-AT"/>
        </w:rPr>
        <w:t xml:space="preserve">die oftmals auch </w:t>
      </w:r>
      <w:r w:rsidR="00F76F64" w:rsidRPr="000B0BCE">
        <w:rPr>
          <w:b/>
          <w:bCs/>
          <w:lang w:val="de-AT"/>
        </w:rPr>
        <w:t>Familie mitbringen</w:t>
      </w:r>
      <w:r w:rsidR="00F76F64" w:rsidRPr="008844AD">
        <w:rPr>
          <w:lang w:val="de-AT"/>
        </w:rPr>
        <w:t>! Denn das Waldviertel ist besonders beliebt, wenn es um die Frage geht, wo die eigenen Kinder aufwachsen bzw. in die Schule gehen sollen.</w:t>
      </w:r>
    </w:p>
    <w:p w14:paraId="1698934D" w14:textId="77777777" w:rsidR="00F76F64" w:rsidRPr="000B0BCE" w:rsidRDefault="00F76F64" w:rsidP="00D232B5">
      <w:pPr>
        <w:rPr>
          <w:b/>
          <w:bCs/>
        </w:rPr>
      </w:pPr>
    </w:p>
    <w:p w14:paraId="50B43C90" w14:textId="6EEFAD83" w:rsidR="00045667" w:rsidRDefault="00045667" w:rsidP="000B0BCE">
      <w:r w:rsidRPr="000B0BCE">
        <w:rPr>
          <w:b/>
          <w:bCs/>
          <w:i/>
          <w:iCs/>
        </w:rPr>
        <w:t>„</w:t>
      </w:r>
      <w:r w:rsidR="00A51501">
        <w:rPr>
          <w:b/>
          <w:bCs/>
          <w:i/>
          <w:iCs/>
        </w:rPr>
        <w:t>Wir müssen weiterhin gemeinsam daran arbeiten, Zuzug ins Waldviertel zu generieren. N</w:t>
      </w:r>
      <w:r w:rsidR="000B0BCE">
        <w:rPr>
          <w:b/>
          <w:bCs/>
          <w:i/>
          <w:iCs/>
        </w:rPr>
        <w:t>ur d</w:t>
      </w:r>
      <w:r w:rsidR="007A3A95" w:rsidRPr="000B0BCE">
        <w:rPr>
          <w:b/>
          <w:bCs/>
          <w:i/>
          <w:iCs/>
        </w:rPr>
        <w:t>urch den Zuzug junger Menschen kann die Zukunft im Waldviertel gestärkt werden!</w:t>
      </w:r>
      <w:r w:rsidRPr="000B0BCE">
        <w:rPr>
          <w:b/>
          <w:bCs/>
          <w:i/>
          <w:iCs/>
        </w:rPr>
        <w:t>“</w:t>
      </w:r>
      <w:r w:rsidRPr="000B0BCE">
        <w:rPr>
          <w:b/>
          <w:bCs/>
        </w:rPr>
        <w:t>,</w:t>
      </w:r>
      <w:r>
        <w:t xml:space="preserve"> so </w:t>
      </w:r>
      <w:r w:rsidR="002B7C32">
        <w:t>der neue Interkomm-</w:t>
      </w:r>
      <w:r>
        <w:t xml:space="preserve">Obmann Bürgermeister </w:t>
      </w:r>
      <w:r w:rsidR="002B7C32">
        <w:t>Patrick Layr</w:t>
      </w:r>
      <w:r>
        <w:t>.</w:t>
      </w:r>
    </w:p>
    <w:p w14:paraId="1124C50C" w14:textId="77777777" w:rsidR="002B7C32" w:rsidRDefault="002B7C32" w:rsidP="000B0BCE"/>
    <w:p w14:paraId="0DC42A78" w14:textId="14E41A9A" w:rsidR="004642DA" w:rsidRDefault="002B7C32" w:rsidP="00DB6A98">
      <w:pPr>
        <w:pBdr>
          <w:top w:val="single" w:sz="4" w:space="1" w:color="auto"/>
          <w:left w:val="single" w:sz="4" w:space="4" w:color="auto"/>
          <w:bottom w:val="single" w:sz="4" w:space="1" w:color="auto"/>
          <w:right w:val="single" w:sz="4" w:space="4" w:color="auto"/>
          <w:between w:val="single" w:sz="4" w:space="1" w:color="auto"/>
          <w:bar w:val="single" w:sz="4" w:color="auto"/>
        </w:pBdr>
      </w:pPr>
      <w:r>
        <w:rPr>
          <w:noProof/>
        </w:rPr>
        <w:drawing>
          <wp:anchor distT="0" distB="0" distL="114300" distR="114300" simplePos="0" relativeHeight="251658240" behindDoc="1" locked="0" layoutInCell="1" allowOverlap="1" wp14:anchorId="6D5923C4" wp14:editId="4AA82690">
            <wp:simplePos x="0" y="0"/>
            <wp:positionH relativeFrom="margin">
              <wp:align>right</wp:align>
            </wp:positionH>
            <wp:positionV relativeFrom="paragraph">
              <wp:posOffset>33020</wp:posOffset>
            </wp:positionV>
            <wp:extent cx="922020" cy="1229360"/>
            <wp:effectExtent l="0" t="0" r="0" b="8890"/>
            <wp:wrapTight wrapText="bothSides">
              <wp:wrapPolygon edited="0">
                <wp:start x="0" y="0"/>
                <wp:lineTo x="0" y="21421"/>
                <wp:lineTo x="20975" y="21421"/>
                <wp:lineTo x="20975" y="0"/>
                <wp:lineTo x="0" y="0"/>
              </wp:wrapPolygon>
            </wp:wrapTight>
            <wp:docPr id="816151007" name="Grafik 3" descr="Ein Bild, das Kleidung, Menschliches Gesicht, Person,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51007" name="Grafik 3" descr="Ein Bild, das Kleidung, Menschliches Gesicht, Person, Lächel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922020" cy="1229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rPr>
        <w:t>„</w:t>
      </w:r>
      <w:r w:rsidRPr="002B7C32">
        <w:rPr>
          <w:b/>
          <w:bCs/>
          <w:noProof/>
        </w:rPr>
        <w:t>Die Nachfrage nach dem Waldviertel als Wohnort ist groß!</w:t>
      </w:r>
      <w:r w:rsidR="00DB6A98">
        <w:rPr>
          <w:b/>
          <w:bCs/>
        </w:rPr>
        <w:br/>
      </w:r>
      <w:bookmarkStart w:id="5" w:name="_Hlk158723144"/>
      <w:r>
        <w:t xml:space="preserve">Das Angebot an Häusern und Wohnungen müsste jedoch um ein Vielfaches größer sein, um diese Nachfrage bedienen zu können. Daher suchen wir laufend nach </w:t>
      </w:r>
      <w:proofErr w:type="spellStart"/>
      <w:proofErr w:type="gramStart"/>
      <w:r>
        <w:t>Eigentümer:innen</w:t>
      </w:r>
      <w:proofErr w:type="spellEnd"/>
      <w:proofErr w:type="gramEnd"/>
      <w:r>
        <w:t>, die</w:t>
      </w:r>
      <w:r w:rsidR="00062DAE">
        <w:t xml:space="preserve"> i</w:t>
      </w:r>
      <w:r>
        <w:t>hre Immobilie im Waldviertel verkaufen</w:t>
      </w:r>
      <w:r w:rsidR="000E0CBF">
        <w:t xml:space="preserve"> oder vermieten</w:t>
      </w:r>
      <w:r>
        <w:t xml:space="preserve"> möchten! </w:t>
      </w:r>
      <w:r w:rsidR="00062DAE">
        <w:t xml:space="preserve">Gemeinsam mit </w:t>
      </w:r>
      <w:proofErr w:type="spellStart"/>
      <w:proofErr w:type="gramStart"/>
      <w:r w:rsidR="00062DAE">
        <w:lastRenderedPageBreak/>
        <w:t>Makler:innen</w:t>
      </w:r>
      <w:proofErr w:type="spellEnd"/>
      <w:proofErr w:type="gramEnd"/>
      <w:r w:rsidR="00062DAE">
        <w:t xml:space="preserve"> oder selbstständig z.B. a</w:t>
      </w:r>
      <w:r>
        <w:t xml:space="preserve">uf </w:t>
      </w:r>
      <w:r w:rsidR="00062DAE">
        <w:t>unserer</w:t>
      </w:r>
      <w:r>
        <w:t xml:space="preserve"> Regions-Website </w:t>
      </w:r>
      <w:hyperlink r:id="rId9" w:history="1">
        <w:r w:rsidRPr="00431953">
          <w:rPr>
            <w:rStyle w:val="Hyperlink"/>
          </w:rPr>
          <w:t>www.wohnen-im-waldviertel.at/inserieren</w:t>
        </w:r>
      </w:hyperlink>
      <w:r>
        <w:t xml:space="preserve">. Unsere 64 Mitgliedsgemeinden sind bei Fragen gerne </w:t>
      </w:r>
      <w:r w:rsidR="000E0CBF">
        <w:t xml:space="preserve">auch für diese Personen </w:t>
      </w:r>
      <w:r>
        <w:t>da!</w:t>
      </w:r>
      <w:r w:rsidR="005F642F">
        <w:t xml:space="preserve">“, so </w:t>
      </w:r>
      <w:r>
        <w:t>der neue Interkomm-</w:t>
      </w:r>
      <w:r w:rsidR="005F642F">
        <w:t xml:space="preserve">Obmann </w:t>
      </w:r>
      <w:r>
        <w:t>Patrick Layr</w:t>
      </w:r>
      <w:r w:rsidR="00C77943">
        <w:t xml:space="preserve">. </w:t>
      </w:r>
      <w:bookmarkEnd w:id="5"/>
    </w:p>
    <w:p w14:paraId="04649AC5" w14:textId="43486830" w:rsidR="00C77943" w:rsidRPr="00C77943" w:rsidRDefault="00C77943" w:rsidP="004642DA"/>
    <w:p w14:paraId="7D0A9C21" w14:textId="5AC97606" w:rsidR="004642DA" w:rsidRPr="004642DA" w:rsidRDefault="00E07345" w:rsidP="004642DA">
      <w:pPr>
        <w:rPr>
          <w:b/>
          <w:bCs/>
        </w:rPr>
      </w:pPr>
      <w:r>
        <w:rPr>
          <w:b/>
          <w:bCs/>
        </w:rPr>
        <w:t>Das Waldviertel in seiner gesamten Vielfalt kennenlernen</w:t>
      </w:r>
    </w:p>
    <w:p w14:paraId="5B9EE29A" w14:textId="3678E18F" w:rsidR="00E07345" w:rsidRDefault="00E07345" w:rsidP="004642DA">
      <w:r>
        <w:t xml:space="preserve">Das ist im Waldviertel Portal </w:t>
      </w:r>
      <w:proofErr w:type="gramStart"/>
      <w:r>
        <w:t>ganz einfach</w:t>
      </w:r>
      <w:proofErr w:type="gramEnd"/>
      <w:r>
        <w:t xml:space="preserve"> möglich. Neben freien Immobilien, Baugründen und Jobs, finde</w:t>
      </w:r>
      <w:r w:rsidR="00C04D55">
        <w:t xml:space="preserve">t man hier </w:t>
      </w:r>
      <w:r>
        <w:t>umfassende Infos zu Infrastruktur und Lebensqualität</w:t>
      </w:r>
      <w:r w:rsidR="00C04D55">
        <w:t>.</w:t>
      </w:r>
      <w:r>
        <w:t xml:space="preserve"> Kultur- und Freizeitangebote, Kindergärten und Schulen, Nahversorger und Gastronomie, Ärzte und Apotheken, Erreichbarkeiten und Internetanbindung und noch einiges mehr werden in einem „Umgebungs-Check“ sichtbar: </w:t>
      </w:r>
      <w:r w:rsidR="00C04D55">
        <w:br/>
      </w:r>
      <w:hyperlink r:id="rId10" w:history="1">
        <w:r w:rsidR="00C04D55" w:rsidRPr="00E01C34">
          <w:rPr>
            <w:rStyle w:val="Hyperlink"/>
          </w:rPr>
          <w:t>www.wohnen-im-waldviertel.at</w:t>
        </w:r>
      </w:hyperlink>
      <w:r>
        <w:t xml:space="preserve"> </w:t>
      </w:r>
    </w:p>
    <w:p w14:paraId="02D1086C" w14:textId="5D764635" w:rsidR="00413923" w:rsidRDefault="00413923" w:rsidP="004642DA"/>
    <w:p w14:paraId="49ED7D8A" w14:textId="31E8EE59" w:rsidR="004642DA" w:rsidRPr="004642DA" w:rsidRDefault="004642DA" w:rsidP="004642DA">
      <w:pPr>
        <w:rPr>
          <w:b/>
          <w:bCs/>
        </w:rPr>
      </w:pPr>
      <w:r w:rsidRPr="004642DA">
        <w:rPr>
          <w:b/>
          <w:bCs/>
        </w:rPr>
        <w:t>Wohnen im Waldviertel. – Wo das Leben neu beginnt!</w:t>
      </w:r>
    </w:p>
    <w:p w14:paraId="302F4F52" w14:textId="4BFE71DB" w:rsidR="001350F5" w:rsidRDefault="004642DA" w:rsidP="004642DA">
      <w:r>
        <w:t xml:space="preserve">„Wohnen im Waldviertel“ ist eine langfristig angelegte Initiative, um </w:t>
      </w:r>
      <w:r w:rsidRPr="00FB1EA8">
        <w:rPr>
          <w:b/>
          <w:bCs/>
        </w:rPr>
        <w:t>Zuzug</w:t>
      </w:r>
      <w:r>
        <w:t xml:space="preserve"> und Rückkehr zu </w:t>
      </w:r>
      <w:r w:rsidRPr="00FB1EA8">
        <w:rPr>
          <w:b/>
          <w:bCs/>
        </w:rPr>
        <w:t>fördern</w:t>
      </w:r>
      <w:r>
        <w:t xml:space="preserve">, </w:t>
      </w:r>
      <w:r w:rsidRPr="00FB1EA8">
        <w:rPr>
          <w:b/>
          <w:bCs/>
        </w:rPr>
        <w:t>Abwanderung</w:t>
      </w:r>
      <w:r>
        <w:t xml:space="preserve"> zu </w:t>
      </w:r>
      <w:r w:rsidR="00FB1EA8" w:rsidRPr="00FB1EA8">
        <w:rPr>
          <w:b/>
          <w:bCs/>
        </w:rPr>
        <w:t>reduzieren</w:t>
      </w:r>
      <w:r>
        <w:t xml:space="preserve"> und </w:t>
      </w:r>
      <w:r w:rsidRPr="009F1DB0">
        <w:rPr>
          <w:b/>
          <w:bCs/>
        </w:rPr>
        <w:t>Nachfrage</w:t>
      </w:r>
      <w:r>
        <w:t xml:space="preserve"> nach konkreten Immobilien</w:t>
      </w:r>
      <w:r w:rsidR="0002462E">
        <w:t xml:space="preserve"> und </w:t>
      </w:r>
      <w:r>
        <w:t xml:space="preserve">Baugründen </w:t>
      </w:r>
      <w:r w:rsidR="00D64D47">
        <w:t xml:space="preserve">sowie </w:t>
      </w:r>
      <w:r>
        <w:t xml:space="preserve">nach Jobangeboten </w:t>
      </w:r>
      <w:r w:rsidR="0002462E">
        <w:t xml:space="preserve">in der Region </w:t>
      </w:r>
      <w:r>
        <w:t xml:space="preserve">zu </w:t>
      </w:r>
      <w:r w:rsidRPr="009F1DB0">
        <w:rPr>
          <w:b/>
          <w:bCs/>
        </w:rPr>
        <w:t>generieren</w:t>
      </w:r>
      <w:r>
        <w:t xml:space="preserve">. </w:t>
      </w:r>
    </w:p>
    <w:p w14:paraId="11D56C0E" w14:textId="77777777" w:rsidR="001350F5" w:rsidRDefault="001350F5" w:rsidP="004642DA"/>
    <w:p w14:paraId="5EE89BB1" w14:textId="36B4128E" w:rsidR="005E05A3" w:rsidRDefault="005E05A3" w:rsidP="004642DA">
      <w:r>
        <w:t>Die</w:t>
      </w:r>
      <w:r w:rsidR="00C04D55">
        <w:t xml:space="preserve"> </w:t>
      </w:r>
      <w:r w:rsidR="00C04D55" w:rsidRPr="00C04D55">
        <w:rPr>
          <w:b/>
          <w:bCs/>
        </w:rPr>
        <w:t>2008</w:t>
      </w:r>
      <w:r w:rsidR="00C04D55">
        <w:t xml:space="preserve"> gestartete</w:t>
      </w:r>
      <w:r>
        <w:t xml:space="preserve"> Initiative wird getragen von </w:t>
      </w:r>
      <w:r w:rsidRPr="00C04D55">
        <w:rPr>
          <w:b/>
          <w:bCs/>
        </w:rPr>
        <w:t>64 Gemeinden</w:t>
      </w:r>
      <w:r>
        <w:t xml:space="preserve"> des Vereines Interkomm, die Menschen auf ihrem Weg ins Waldviertel unterstützen möchten und sich gemeinsam mit </w:t>
      </w:r>
      <w:proofErr w:type="spellStart"/>
      <w:proofErr w:type="gramStart"/>
      <w:r>
        <w:t>Waldviertler:innen</w:t>
      </w:r>
      <w:proofErr w:type="spellEnd"/>
      <w:proofErr w:type="gramEnd"/>
      <w:r>
        <w:t xml:space="preserve"> für die Weiterentwicklung der Region engagieren. </w:t>
      </w:r>
      <w:r w:rsidR="00C04D55">
        <w:t>M</w:t>
      </w:r>
      <w:r>
        <w:t>it den Partnern Raiffeisen, HARTL HAUS, KASTNER Gruppe</w:t>
      </w:r>
      <w:r w:rsidR="00A51501">
        <w:t xml:space="preserve">, </w:t>
      </w:r>
      <w:r>
        <w:t xml:space="preserve">WAV </w:t>
      </w:r>
      <w:r w:rsidR="00A51501">
        <w:t xml:space="preserve">und Wirtschaftsforum Waldviertel </w:t>
      </w:r>
      <w:r w:rsidR="00C04D55">
        <w:t>an der Seite, zeigen</w:t>
      </w:r>
      <w:r>
        <w:t xml:space="preserve"> sie, dass man in diesem Teil Niederösterreichs wunderbar </w:t>
      </w:r>
      <w:r w:rsidRPr="00C04D55">
        <w:rPr>
          <w:b/>
          <w:bCs/>
        </w:rPr>
        <w:t>Wohnen, Arbeiten und Leben</w:t>
      </w:r>
      <w:r>
        <w:t xml:space="preserve"> kann.</w:t>
      </w:r>
    </w:p>
    <w:p w14:paraId="7236CE37" w14:textId="77777777" w:rsidR="008844AD" w:rsidRDefault="008844AD" w:rsidP="009D2898"/>
    <w:p w14:paraId="7CB7FAA9" w14:textId="77777777" w:rsidR="00071273" w:rsidRPr="000000A8" w:rsidRDefault="00071273" w:rsidP="00071273">
      <w:pPr>
        <w:rPr>
          <w:sz w:val="10"/>
          <w:szCs w:val="10"/>
        </w:rPr>
      </w:pPr>
    </w:p>
    <w:p w14:paraId="39183149" w14:textId="77777777" w:rsidR="00071273" w:rsidRPr="000000A8" w:rsidRDefault="00071273" w:rsidP="00071273">
      <w:pPr>
        <w:pBdr>
          <w:top w:val="single" w:sz="4" w:space="1" w:color="auto"/>
        </w:pBdr>
        <w:tabs>
          <w:tab w:val="left" w:pos="1253"/>
        </w:tabs>
        <w:rPr>
          <w:sz w:val="10"/>
          <w:szCs w:val="10"/>
        </w:rPr>
      </w:pPr>
    </w:p>
    <w:p w14:paraId="70279C27" w14:textId="77777777" w:rsidR="00071273" w:rsidRPr="00135310" w:rsidRDefault="00071273" w:rsidP="00071273">
      <w:pPr>
        <w:rPr>
          <w:b/>
        </w:rPr>
      </w:pPr>
      <w:r w:rsidRPr="00135310">
        <w:rPr>
          <w:b/>
        </w:rPr>
        <w:t xml:space="preserve">Bei </w:t>
      </w:r>
      <w:r>
        <w:rPr>
          <w:b/>
        </w:rPr>
        <w:t>F</w:t>
      </w:r>
      <w:r w:rsidRPr="00135310">
        <w:rPr>
          <w:b/>
        </w:rPr>
        <w:t>ragen wenden Sie sich bitte an:</w:t>
      </w:r>
    </w:p>
    <w:p w14:paraId="3A9E6DD1" w14:textId="1B648EBE" w:rsidR="00071273" w:rsidRDefault="00071273" w:rsidP="00071273">
      <w:r>
        <w:t>Mag Nina Sillipp</w:t>
      </w:r>
      <w:r w:rsidR="00062DAE">
        <w:t xml:space="preserve"> und Josef Wallenberger</w:t>
      </w:r>
      <w:r w:rsidR="00062DAE">
        <w:br/>
      </w:r>
      <w:proofErr w:type="spellStart"/>
      <w:r w:rsidRPr="00A130DD">
        <w:t>Wallenberger</w:t>
      </w:r>
      <w:proofErr w:type="spellEnd"/>
      <w:r w:rsidRPr="00A130DD">
        <w:t xml:space="preserve"> &amp; Linhard Regionalberatung</w:t>
      </w:r>
      <w:r>
        <w:t xml:space="preserve"> KG</w:t>
      </w:r>
      <w:r w:rsidRPr="00A130DD">
        <w:t>, Projektumsetzung</w:t>
      </w:r>
      <w:r>
        <w:t xml:space="preserve"> </w:t>
      </w:r>
      <w:r>
        <w:br/>
        <w:t>+43 (</w:t>
      </w:r>
      <w:r w:rsidRPr="00A130DD">
        <w:t>0</w:t>
      </w:r>
      <w:r>
        <w:t xml:space="preserve">) </w:t>
      </w:r>
      <w:r w:rsidRPr="00A130DD">
        <w:t>664</w:t>
      </w:r>
      <w:r>
        <w:t xml:space="preserve"> </w:t>
      </w:r>
      <w:r w:rsidRPr="00A130DD">
        <w:t>/</w:t>
      </w:r>
      <w:r>
        <w:t xml:space="preserve"> </w:t>
      </w:r>
      <w:r w:rsidRPr="00A130DD">
        <w:t>230 58 70</w:t>
      </w:r>
      <w:r>
        <w:t xml:space="preserve">, </w:t>
      </w:r>
      <w:hyperlink r:id="rId11" w:history="1">
        <w:r w:rsidRPr="007D6D63">
          <w:rPr>
            <w:rStyle w:val="Hyperlink"/>
          </w:rPr>
          <w:t>office@wohnen-im-waldviertel.at</w:t>
        </w:r>
      </w:hyperlink>
      <w:r>
        <w:t xml:space="preserve"> </w:t>
      </w:r>
    </w:p>
    <w:p w14:paraId="6AE7C942" w14:textId="77777777" w:rsidR="00071273" w:rsidRPr="00306831" w:rsidRDefault="00071273" w:rsidP="00071273">
      <w:r>
        <w:t xml:space="preserve">Weitere </w:t>
      </w:r>
      <w:r w:rsidRPr="00E343C3">
        <w:t>Informationen</w:t>
      </w:r>
      <w:r>
        <w:t xml:space="preserve"> erhalten Sie unter </w:t>
      </w:r>
      <w:hyperlink r:id="rId12" w:history="1">
        <w:r w:rsidRPr="007D6D63">
          <w:rPr>
            <w:rStyle w:val="Hyperlink"/>
          </w:rPr>
          <w:t>www.wohnen-im-waldviertel.at/presse</w:t>
        </w:r>
      </w:hyperlink>
      <w:r>
        <w:t xml:space="preserve"> </w:t>
      </w:r>
    </w:p>
    <w:p w14:paraId="5CF9F850" w14:textId="36B85C5C" w:rsidR="00071273" w:rsidRDefault="00071273">
      <w:pPr>
        <w:spacing w:line="240" w:lineRule="auto"/>
      </w:pPr>
      <w:r>
        <w:br w:type="page"/>
      </w:r>
    </w:p>
    <w:p w14:paraId="0F954978" w14:textId="46B416AE" w:rsidR="00A423A0" w:rsidRDefault="00A423A0" w:rsidP="00A423A0">
      <w:r w:rsidRPr="00934A11">
        <w:rPr>
          <w:iCs/>
          <w:color w:val="006600"/>
          <w:szCs w:val="18"/>
        </w:rPr>
        <w:lastRenderedPageBreak/>
        <w:t>Foto:</w:t>
      </w:r>
      <w:r>
        <w:rPr>
          <w:iCs/>
          <w:color w:val="006600"/>
          <w:szCs w:val="18"/>
        </w:rPr>
        <w:t xml:space="preserve"> </w:t>
      </w:r>
      <w:r w:rsidR="00A77888">
        <w:t>Patricia Keller mit ihrem Hun</w:t>
      </w:r>
      <w:r w:rsidR="00062DAE">
        <w:t>d</w:t>
      </w:r>
      <w:r w:rsidR="00A77888">
        <w:t xml:space="preserve"> in ihrer Wahl-Heimat Ottenschlag </w:t>
      </w:r>
      <w:r>
        <w:t xml:space="preserve">© </w:t>
      </w:r>
      <w:r w:rsidR="00A77888">
        <w:t>Verein Interkomm Waldviertel</w:t>
      </w:r>
    </w:p>
    <w:p w14:paraId="6DD18221" w14:textId="12A8951F" w:rsidR="00A423A0" w:rsidRDefault="00A77888" w:rsidP="00A423A0">
      <w:r>
        <w:rPr>
          <w:noProof/>
        </w:rPr>
        <w:drawing>
          <wp:inline distT="0" distB="0" distL="0" distR="0" wp14:anchorId="71184021" wp14:editId="09081AFD">
            <wp:extent cx="3600000" cy="2713833"/>
            <wp:effectExtent l="0" t="0" r="635" b="0"/>
            <wp:docPr id="1678942909" name="Grafik 4" descr="Ein Bild, das draußen, Person, Himmel, Se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42909" name="Grafik 4" descr="Ein Bild, das draußen, Person, Himmel, See enthält.&#10;&#10;KI-generierte Inhalte können fehlerhaft sein."/>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0000" cy="2713833"/>
                    </a:xfrm>
                    <a:prstGeom prst="rect">
                      <a:avLst/>
                    </a:prstGeom>
                    <a:noFill/>
                    <a:ln>
                      <a:noFill/>
                    </a:ln>
                  </pic:spPr>
                </pic:pic>
              </a:graphicData>
            </a:graphic>
          </wp:inline>
        </w:drawing>
      </w:r>
    </w:p>
    <w:p w14:paraId="197A29F2" w14:textId="77777777" w:rsidR="00A423A0" w:rsidRPr="000000A8" w:rsidRDefault="00A423A0" w:rsidP="00A423A0">
      <w:pPr>
        <w:rPr>
          <w:sz w:val="10"/>
          <w:szCs w:val="10"/>
        </w:rPr>
      </w:pPr>
      <w:bookmarkStart w:id="6" w:name="_Hlk521597726"/>
    </w:p>
    <w:p w14:paraId="7EA7E96C" w14:textId="77777777" w:rsidR="00A423A0" w:rsidRPr="000000A8" w:rsidRDefault="00A423A0" w:rsidP="00A423A0">
      <w:pPr>
        <w:pBdr>
          <w:top w:val="single" w:sz="4" w:space="1" w:color="auto"/>
        </w:pBdr>
        <w:tabs>
          <w:tab w:val="left" w:pos="1253"/>
        </w:tabs>
        <w:rPr>
          <w:sz w:val="10"/>
          <w:szCs w:val="10"/>
        </w:rPr>
      </w:pPr>
    </w:p>
    <w:bookmarkEnd w:id="6"/>
    <w:p w14:paraId="5C4EA796" w14:textId="2098B6AB" w:rsidR="009D2898" w:rsidRDefault="00C27E46" w:rsidP="004642DA">
      <w:r>
        <w:t xml:space="preserve">Altersbaum der </w:t>
      </w:r>
      <w:r w:rsidR="009D2898">
        <w:t>Zuzüge in</w:t>
      </w:r>
      <w:r w:rsidR="006916E4">
        <w:t xml:space="preserve"> die NUTS3 </w:t>
      </w:r>
      <w:r w:rsidR="009D2898">
        <w:t>Waldviertel 202</w:t>
      </w:r>
      <w:r w:rsidR="00A77888">
        <w:t>4</w:t>
      </w:r>
    </w:p>
    <w:p w14:paraId="01B49CC6" w14:textId="1B50D6DA" w:rsidR="009D2898" w:rsidRDefault="009D2898" w:rsidP="004642DA">
      <w:r>
        <w:t xml:space="preserve">Quelle: Statistik Austria, </w:t>
      </w:r>
      <w:proofErr w:type="spellStart"/>
      <w:r>
        <w:t>STATcube</w:t>
      </w:r>
      <w:proofErr w:type="spellEnd"/>
      <w:r>
        <w:t xml:space="preserve">-Abfrage </w:t>
      </w:r>
      <w:r w:rsidR="00A77888">
        <w:t>28</w:t>
      </w:r>
      <w:r>
        <w:t xml:space="preserve">. </w:t>
      </w:r>
      <w:r w:rsidR="00A77888">
        <w:t>Mai</w:t>
      </w:r>
      <w:r>
        <w:t xml:space="preserve"> 202</w:t>
      </w:r>
      <w:r w:rsidR="00A77888">
        <w:t>5</w:t>
      </w:r>
    </w:p>
    <w:p w14:paraId="2397F91C" w14:textId="26B9E64C" w:rsidR="00821AD2" w:rsidRDefault="00821AD2" w:rsidP="004642DA">
      <w:r>
        <w:rPr>
          <w:noProof/>
        </w:rPr>
        <w:drawing>
          <wp:inline distT="0" distB="0" distL="0" distR="0" wp14:anchorId="7F5FD490" wp14:editId="79238B28">
            <wp:extent cx="5040000" cy="4139590"/>
            <wp:effectExtent l="0" t="0" r="8255" b="0"/>
            <wp:docPr id="20201431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000" cy="4139590"/>
                    </a:xfrm>
                    <a:prstGeom prst="rect">
                      <a:avLst/>
                    </a:prstGeom>
                    <a:noFill/>
                  </pic:spPr>
                </pic:pic>
              </a:graphicData>
            </a:graphic>
          </wp:inline>
        </w:drawing>
      </w:r>
    </w:p>
    <w:p w14:paraId="37E7D88E" w14:textId="775CA72D" w:rsidR="009D2898" w:rsidRDefault="00A77888" w:rsidP="004642DA">
      <w:r>
        <w:lastRenderedPageBreak/>
        <w:t>Altersbaum der NUTS 3 Region Waldviertel</w:t>
      </w:r>
      <w:r w:rsidR="00C27E46">
        <w:t xml:space="preserve"> per 1.1.2025</w:t>
      </w:r>
    </w:p>
    <w:p w14:paraId="243A1B98" w14:textId="1548DDBC" w:rsidR="00F76F64" w:rsidRDefault="00F76F64" w:rsidP="004642DA">
      <w:r>
        <w:t xml:space="preserve">Quelle: Statistik Austria, </w:t>
      </w:r>
      <w:proofErr w:type="spellStart"/>
      <w:r>
        <w:t>STATcube</w:t>
      </w:r>
      <w:proofErr w:type="spellEnd"/>
      <w:r>
        <w:t xml:space="preserve">-Abfrage </w:t>
      </w:r>
      <w:r w:rsidR="00A77888">
        <w:t xml:space="preserve">27. Mai </w:t>
      </w:r>
      <w:r>
        <w:t>202</w:t>
      </w:r>
      <w:r w:rsidR="00A77888">
        <w:t>5</w:t>
      </w:r>
    </w:p>
    <w:p w14:paraId="275D571B" w14:textId="77777777" w:rsidR="007A3A95" w:rsidRDefault="007A3A95" w:rsidP="004642DA"/>
    <w:p w14:paraId="16275E84" w14:textId="77777777" w:rsidR="00A77888" w:rsidRPr="00B121E4" w:rsidRDefault="00A77888" w:rsidP="00A77888">
      <w:pPr>
        <w:rPr>
          <w:color w:val="8064A2" w:themeColor="accent4"/>
        </w:rPr>
      </w:pPr>
      <w:r>
        <w:rPr>
          <w:noProof/>
          <w:color w:val="8064A2" w:themeColor="accent4"/>
        </w:rPr>
        <w:drawing>
          <wp:inline distT="0" distB="0" distL="0" distR="0" wp14:anchorId="7F61A399" wp14:editId="02B68126">
            <wp:extent cx="5760000" cy="4806441"/>
            <wp:effectExtent l="0" t="0" r="0" b="0"/>
            <wp:docPr id="1961771635" name="Grafik 1" descr="Ein Bild, das Text, Screenshot, Diagramm,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71635" name="Grafik 1" descr="Ein Bild, das Text, Screenshot, Diagramm, Design enthält.&#10;&#10;KI-generierte Inhalte können fehlerhaft sei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000" cy="4806441"/>
                    </a:xfrm>
                    <a:prstGeom prst="rect">
                      <a:avLst/>
                    </a:prstGeom>
                    <a:noFill/>
                  </pic:spPr>
                </pic:pic>
              </a:graphicData>
            </a:graphic>
          </wp:inline>
        </w:drawing>
      </w:r>
    </w:p>
    <w:p w14:paraId="59714535" w14:textId="77777777" w:rsidR="00570FC7" w:rsidRDefault="00570FC7" w:rsidP="004642DA"/>
    <w:p w14:paraId="4A033BA2" w14:textId="77777777" w:rsidR="00570FC7" w:rsidRDefault="00570FC7" w:rsidP="004642DA"/>
    <w:p w14:paraId="5B158DCF" w14:textId="77777777" w:rsidR="000B0BCE" w:rsidRDefault="000B0BCE" w:rsidP="000B0BCE"/>
    <w:p w14:paraId="1CE66BC4" w14:textId="77777777" w:rsidR="000B0BCE" w:rsidRPr="000B0BCE" w:rsidRDefault="000B0BCE" w:rsidP="000B0BCE"/>
    <w:p w14:paraId="1351EFCD" w14:textId="77777777" w:rsidR="006D01A1" w:rsidRDefault="006D01A1" w:rsidP="00894C91">
      <w:pPr>
        <w:rPr>
          <w:b/>
        </w:rPr>
      </w:pPr>
    </w:p>
    <w:p w14:paraId="20E043E7" w14:textId="77777777" w:rsidR="006D01A1" w:rsidRDefault="005E6EF2" w:rsidP="00894C91">
      <w:pPr>
        <w:sectPr w:rsidR="006D01A1" w:rsidSect="00D232B5">
          <w:headerReference w:type="default" r:id="rId16"/>
          <w:footerReference w:type="default" r:id="rId17"/>
          <w:type w:val="continuous"/>
          <w:pgSz w:w="11906" w:h="16838"/>
          <w:pgMar w:top="2642" w:right="1701" w:bottom="1134" w:left="1418" w:header="709" w:footer="709" w:gutter="0"/>
          <w:cols w:space="708"/>
        </w:sectPr>
      </w:pPr>
      <w:r>
        <w:t xml:space="preserve"> </w:t>
      </w:r>
    </w:p>
    <w:p w14:paraId="6A275341" w14:textId="0FBAFB93" w:rsidR="005E6EF2" w:rsidRDefault="005E6EF2" w:rsidP="00894C91"/>
    <w:p w14:paraId="618D28F6" w14:textId="74138433" w:rsidR="006D01A1" w:rsidRDefault="006D01A1" w:rsidP="00894C91">
      <w:r>
        <w:t xml:space="preserve">Tabelle: </w:t>
      </w:r>
      <w:r w:rsidRPr="006D01A1">
        <w:t>Bevölkerungsveränderung 1.1.202</w:t>
      </w:r>
      <w:r w:rsidR="00C27E46">
        <w:t>4</w:t>
      </w:r>
      <w:r w:rsidRPr="006D01A1">
        <w:t xml:space="preserve"> – 1.1.202</w:t>
      </w:r>
      <w:r w:rsidR="00C27E46">
        <w:t>5</w:t>
      </w:r>
      <w:r w:rsidRPr="006D01A1">
        <w:t xml:space="preserve"> nach Demographischen Komponenten und Politischen Bezirken</w:t>
      </w:r>
    </w:p>
    <w:p w14:paraId="4378BB93" w14:textId="77777777" w:rsidR="00724DE2" w:rsidRDefault="00724DE2" w:rsidP="00894C91"/>
    <w:tbl>
      <w:tblPr>
        <w:tblW w:w="122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1701"/>
        <w:gridCol w:w="961"/>
        <w:gridCol w:w="960"/>
        <w:gridCol w:w="933"/>
        <w:gridCol w:w="960"/>
        <w:gridCol w:w="961"/>
        <w:gridCol w:w="960"/>
        <w:gridCol w:w="960"/>
        <w:gridCol w:w="960"/>
        <w:gridCol w:w="960"/>
        <w:gridCol w:w="1008"/>
        <w:gridCol w:w="961"/>
      </w:tblGrid>
      <w:tr w:rsidR="00724DE2" w:rsidRPr="00724DE2" w14:paraId="05CAFFB6" w14:textId="5BAE8778" w:rsidTr="00724DE2">
        <w:trPr>
          <w:trHeight w:val="483"/>
        </w:trPr>
        <w:tc>
          <w:tcPr>
            <w:tcW w:w="1701" w:type="dxa"/>
            <w:vMerge w:val="restart"/>
            <w:tcBorders>
              <w:bottom w:val="single" w:sz="4" w:space="0" w:color="808080" w:themeColor="background1" w:themeShade="80"/>
            </w:tcBorders>
            <w:shd w:val="clear" w:color="auto" w:fill="auto"/>
            <w:vAlign w:val="center"/>
            <w:hideMark/>
          </w:tcPr>
          <w:p w14:paraId="2E30329F" w14:textId="6562208E" w:rsidR="00724DE2" w:rsidRPr="00724DE2" w:rsidRDefault="00724DE2" w:rsidP="00724DE2">
            <w:pPr>
              <w:spacing w:line="240" w:lineRule="auto"/>
              <w:rPr>
                <w:rFonts w:ascii="Calibri" w:eastAsia="Times New Roman" w:hAnsi="Calibri" w:cs="Calibri"/>
                <w:color w:val="000000"/>
                <w:sz w:val="18"/>
                <w:szCs w:val="18"/>
                <w:lang w:val="de-AT" w:eastAsia="de-AT"/>
              </w:rPr>
            </w:pPr>
            <w:r>
              <w:rPr>
                <w:rFonts w:ascii="Calibri" w:eastAsia="Times New Roman" w:hAnsi="Calibri" w:cs="Calibri"/>
                <w:color w:val="000000"/>
                <w:sz w:val="18"/>
                <w:szCs w:val="18"/>
                <w:lang w:val="de-AT" w:eastAsia="de-AT"/>
              </w:rPr>
              <w:t>NUTS3 Region, Statutarstadt, Bezirk</w:t>
            </w:r>
          </w:p>
        </w:tc>
        <w:tc>
          <w:tcPr>
            <w:tcW w:w="961" w:type="dxa"/>
            <w:vMerge w:val="restart"/>
            <w:tcBorders>
              <w:bottom w:val="single" w:sz="4" w:space="0" w:color="808080" w:themeColor="background1" w:themeShade="80"/>
            </w:tcBorders>
            <w:shd w:val="clear" w:color="auto" w:fill="auto"/>
            <w:vAlign w:val="center"/>
            <w:hideMark/>
          </w:tcPr>
          <w:p w14:paraId="0A12DC2D" w14:textId="77777777" w:rsidR="00724DE2" w:rsidRPr="00724DE2" w:rsidRDefault="00724DE2" w:rsidP="00724DE2">
            <w:pPr>
              <w:spacing w:line="240" w:lineRule="auto"/>
              <w:jc w:val="center"/>
              <w:rPr>
                <w:rFonts w:ascii="Calibri" w:eastAsia="Times New Roman" w:hAnsi="Calibri" w:cs="Calibri"/>
                <w:color w:val="000000"/>
                <w:sz w:val="18"/>
                <w:szCs w:val="18"/>
                <w:lang w:val="de-AT" w:eastAsia="de-AT"/>
              </w:rPr>
            </w:pPr>
            <w:proofErr w:type="spellStart"/>
            <w:r w:rsidRPr="00724DE2">
              <w:rPr>
                <w:rFonts w:ascii="Calibri" w:eastAsia="Times New Roman" w:hAnsi="Calibri" w:cs="Calibri"/>
                <w:color w:val="000000"/>
                <w:sz w:val="18"/>
                <w:szCs w:val="18"/>
                <w:lang w:val="de-AT" w:eastAsia="de-AT"/>
              </w:rPr>
              <w:t>Bevölke</w:t>
            </w:r>
            <w:proofErr w:type="spellEnd"/>
            <w:r w:rsidRPr="00724DE2">
              <w:rPr>
                <w:rFonts w:ascii="Calibri" w:eastAsia="Times New Roman" w:hAnsi="Calibri" w:cs="Calibri"/>
                <w:color w:val="000000"/>
                <w:sz w:val="18"/>
                <w:szCs w:val="18"/>
                <w:lang w:val="de-AT" w:eastAsia="de-AT"/>
              </w:rPr>
              <w:t>-</w:t>
            </w:r>
            <w:r w:rsidRPr="00724DE2">
              <w:rPr>
                <w:rFonts w:ascii="Calibri" w:eastAsia="Times New Roman" w:hAnsi="Calibri" w:cs="Calibri"/>
                <w:color w:val="000000"/>
                <w:sz w:val="18"/>
                <w:szCs w:val="18"/>
                <w:lang w:val="de-AT" w:eastAsia="de-AT"/>
              </w:rPr>
              <w:br/>
            </w:r>
            <w:proofErr w:type="spellStart"/>
            <w:r w:rsidRPr="00724DE2">
              <w:rPr>
                <w:rFonts w:ascii="Calibri" w:eastAsia="Times New Roman" w:hAnsi="Calibri" w:cs="Calibri"/>
                <w:color w:val="000000"/>
                <w:sz w:val="18"/>
                <w:szCs w:val="18"/>
                <w:lang w:val="de-AT" w:eastAsia="de-AT"/>
              </w:rPr>
              <w:t>rung</w:t>
            </w:r>
            <w:proofErr w:type="spellEnd"/>
            <w:r w:rsidRPr="00724DE2">
              <w:rPr>
                <w:rFonts w:ascii="Calibri" w:eastAsia="Times New Roman" w:hAnsi="Calibri" w:cs="Calibri"/>
                <w:color w:val="000000"/>
                <w:sz w:val="18"/>
                <w:szCs w:val="18"/>
                <w:lang w:val="de-AT" w:eastAsia="de-AT"/>
              </w:rPr>
              <w:t xml:space="preserve"> am</w:t>
            </w:r>
            <w:r w:rsidRPr="00724DE2">
              <w:rPr>
                <w:rFonts w:ascii="Calibri" w:eastAsia="Times New Roman" w:hAnsi="Calibri" w:cs="Calibri"/>
                <w:color w:val="000000"/>
                <w:sz w:val="18"/>
                <w:szCs w:val="18"/>
                <w:lang w:val="de-AT" w:eastAsia="de-AT"/>
              </w:rPr>
              <w:br/>
              <w:t>01.01.2024</w:t>
            </w:r>
          </w:p>
        </w:tc>
        <w:tc>
          <w:tcPr>
            <w:tcW w:w="3814" w:type="dxa"/>
            <w:gridSpan w:val="4"/>
            <w:tcBorders>
              <w:bottom w:val="single" w:sz="4" w:space="0" w:color="808080" w:themeColor="background1" w:themeShade="80"/>
            </w:tcBorders>
            <w:shd w:val="clear" w:color="auto" w:fill="auto"/>
            <w:vAlign w:val="center"/>
            <w:hideMark/>
          </w:tcPr>
          <w:p w14:paraId="4C79C21E" w14:textId="77777777" w:rsidR="00724DE2" w:rsidRPr="00724DE2" w:rsidRDefault="00724DE2" w:rsidP="00724DE2">
            <w:pPr>
              <w:spacing w:line="240" w:lineRule="auto"/>
              <w:jc w:val="center"/>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Geburtenbilanz</w:t>
            </w:r>
          </w:p>
        </w:tc>
        <w:tc>
          <w:tcPr>
            <w:tcW w:w="3840" w:type="dxa"/>
            <w:gridSpan w:val="4"/>
            <w:tcBorders>
              <w:bottom w:val="single" w:sz="4" w:space="0" w:color="808080" w:themeColor="background1" w:themeShade="80"/>
            </w:tcBorders>
            <w:shd w:val="clear" w:color="auto" w:fill="auto"/>
            <w:vAlign w:val="center"/>
            <w:hideMark/>
          </w:tcPr>
          <w:p w14:paraId="7618DDF9" w14:textId="77777777" w:rsidR="00724DE2" w:rsidRPr="00724DE2" w:rsidRDefault="00724DE2" w:rsidP="00724DE2">
            <w:pPr>
              <w:spacing w:line="240" w:lineRule="auto"/>
              <w:jc w:val="center"/>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Wanderungsbilanz</w:t>
            </w:r>
          </w:p>
        </w:tc>
        <w:tc>
          <w:tcPr>
            <w:tcW w:w="1008" w:type="dxa"/>
            <w:vMerge w:val="restart"/>
            <w:tcBorders>
              <w:bottom w:val="single" w:sz="4" w:space="0" w:color="808080" w:themeColor="background1" w:themeShade="80"/>
            </w:tcBorders>
            <w:vAlign w:val="center"/>
          </w:tcPr>
          <w:p w14:paraId="570185F7" w14:textId="093DA26E" w:rsidR="00724DE2" w:rsidRPr="00724DE2" w:rsidRDefault="00724DE2" w:rsidP="00724DE2">
            <w:pPr>
              <w:spacing w:line="240" w:lineRule="auto"/>
              <w:jc w:val="center"/>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Umzüge</w:t>
            </w:r>
            <w:r w:rsidRPr="00724DE2">
              <w:rPr>
                <w:rFonts w:ascii="Calibri" w:eastAsia="Times New Roman" w:hAnsi="Calibri" w:cs="Calibri"/>
                <w:color w:val="000000"/>
                <w:sz w:val="18"/>
                <w:szCs w:val="18"/>
                <w:lang w:val="de-AT" w:eastAsia="de-AT"/>
              </w:rPr>
              <w:br/>
              <w:t>innerhalb</w:t>
            </w:r>
            <w:r w:rsidRPr="00724DE2">
              <w:rPr>
                <w:rFonts w:ascii="Calibri" w:eastAsia="Times New Roman" w:hAnsi="Calibri" w:cs="Calibri"/>
                <w:color w:val="000000"/>
                <w:sz w:val="18"/>
                <w:szCs w:val="18"/>
                <w:lang w:val="de-AT" w:eastAsia="de-AT"/>
              </w:rPr>
              <w:br/>
              <w:t>der Ge-</w:t>
            </w:r>
            <w:r w:rsidRPr="00724DE2">
              <w:rPr>
                <w:rFonts w:ascii="Calibri" w:eastAsia="Times New Roman" w:hAnsi="Calibri" w:cs="Calibri"/>
                <w:color w:val="000000"/>
                <w:sz w:val="18"/>
                <w:szCs w:val="18"/>
                <w:lang w:val="de-AT" w:eastAsia="de-AT"/>
              </w:rPr>
              <w:br/>
            </w:r>
            <w:proofErr w:type="spellStart"/>
            <w:r w:rsidRPr="00724DE2">
              <w:rPr>
                <w:rFonts w:ascii="Calibri" w:eastAsia="Times New Roman" w:hAnsi="Calibri" w:cs="Calibri"/>
                <w:color w:val="000000"/>
                <w:sz w:val="18"/>
                <w:szCs w:val="18"/>
                <w:lang w:val="de-AT" w:eastAsia="de-AT"/>
              </w:rPr>
              <w:t>bietseinheit</w:t>
            </w:r>
            <w:proofErr w:type="spellEnd"/>
          </w:p>
        </w:tc>
        <w:tc>
          <w:tcPr>
            <w:tcW w:w="961" w:type="dxa"/>
            <w:vMerge w:val="restart"/>
            <w:tcBorders>
              <w:bottom w:val="single" w:sz="4" w:space="0" w:color="808080" w:themeColor="background1" w:themeShade="80"/>
            </w:tcBorders>
            <w:vAlign w:val="center"/>
          </w:tcPr>
          <w:p w14:paraId="518FFABB" w14:textId="7933A7EB" w:rsidR="00724DE2" w:rsidRPr="00724DE2" w:rsidRDefault="00724DE2" w:rsidP="00724DE2">
            <w:pPr>
              <w:spacing w:line="240" w:lineRule="auto"/>
              <w:jc w:val="center"/>
              <w:rPr>
                <w:rFonts w:ascii="Calibri" w:eastAsia="Times New Roman" w:hAnsi="Calibri" w:cs="Calibri"/>
                <w:color w:val="000000"/>
                <w:sz w:val="18"/>
                <w:szCs w:val="18"/>
                <w:lang w:val="de-AT" w:eastAsia="de-AT"/>
              </w:rPr>
            </w:pPr>
            <w:proofErr w:type="spellStart"/>
            <w:r w:rsidRPr="00724DE2">
              <w:rPr>
                <w:rFonts w:ascii="Calibri" w:eastAsia="Times New Roman" w:hAnsi="Calibri" w:cs="Calibri"/>
                <w:color w:val="000000"/>
                <w:sz w:val="18"/>
                <w:szCs w:val="18"/>
                <w:lang w:val="de-AT" w:eastAsia="de-AT"/>
              </w:rPr>
              <w:t>Bevölke</w:t>
            </w:r>
            <w:proofErr w:type="spellEnd"/>
            <w:r w:rsidRPr="00724DE2">
              <w:rPr>
                <w:rFonts w:ascii="Calibri" w:eastAsia="Times New Roman" w:hAnsi="Calibri" w:cs="Calibri"/>
                <w:color w:val="000000"/>
                <w:sz w:val="18"/>
                <w:szCs w:val="18"/>
                <w:lang w:val="de-AT" w:eastAsia="de-AT"/>
              </w:rPr>
              <w:t>-</w:t>
            </w:r>
            <w:r w:rsidRPr="00724DE2">
              <w:rPr>
                <w:rFonts w:ascii="Calibri" w:eastAsia="Times New Roman" w:hAnsi="Calibri" w:cs="Calibri"/>
                <w:color w:val="000000"/>
                <w:sz w:val="18"/>
                <w:szCs w:val="18"/>
                <w:lang w:val="de-AT" w:eastAsia="de-AT"/>
              </w:rPr>
              <w:br/>
            </w:r>
            <w:proofErr w:type="spellStart"/>
            <w:r w:rsidRPr="00724DE2">
              <w:rPr>
                <w:rFonts w:ascii="Calibri" w:eastAsia="Times New Roman" w:hAnsi="Calibri" w:cs="Calibri"/>
                <w:color w:val="000000"/>
                <w:sz w:val="18"/>
                <w:szCs w:val="18"/>
                <w:lang w:val="de-AT" w:eastAsia="de-AT"/>
              </w:rPr>
              <w:t>rung</w:t>
            </w:r>
            <w:proofErr w:type="spellEnd"/>
            <w:r w:rsidRPr="00724DE2">
              <w:rPr>
                <w:rFonts w:ascii="Calibri" w:eastAsia="Times New Roman" w:hAnsi="Calibri" w:cs="Calibri"/>
                <w:color w:val="000000"/>
                <w:sz w:val="18"/>
                <w:szCs w:val="18"/>
                <w:lang w:val="de-AT" w:eastAsia="de-AT"/>
              </w:rPr>
              <w:t xml:space="preserve"> am</w:t>
            </w:r>
            <w:r w:rsidRPr="00724DE2">
              <w:rPr>
                <w:rFonts w:ascii="Calibri" w:eastAsia="Times New Roman" w:hAnsi="Calibri" w:cs="Calibri"/>
                <w:color w:val="000000"/>
                <w:sz w:val="18"/>
                <w:szCs w:val="18"/>
                <w:lang w:val="de-AT" w:eastAsia="de-AT"/>
              </w:rPr>
              <w:br/>
              <w:t>01.01.202</w:t>
            </w:r>
            <w:r>
              <w:rPr>
                <w:rFonts w:ascii="Calibri" w:eastAsia="Times New Roman" w:hAnsi="Calibri" w:cs="Calibri"/>
                <w:color w:val="000000"/>
                <w:sz w:val="18"/>
                <w:szCs w:val="18"/>
                <w:lang w:val="de-AT" w:eastAsia="de-AT"/>
              </w:rPr>
              <w:t>5</w:t>
            </w:r>
          </w:p>
        </w:tc>
      </w:tr>
      <w:tr w:rsidR="00724DE2" w:rsidRPr="00724DE2" w14:paraId="448A27F4" w14:textId="77777777" w:rsidTr="00724DE2">
        <w:trPr>
          <w:trHeight w:val="315"/>
        </w:trPr>
        <w:tc>
          <w:tcPr>
            <w:tcW w:w="1701" w:type="dxa"/>
            <w:vMerge/>
            <w:shd w:val="clear" w:color="auto" w:fill="auto"/>
            <w:vAlign w:val="center"/>
            <w:hideMark/>
          </w:tcPr>
          <w:p w14:paraId="3CA0F7BD" w14:textId="0A5222AC" w:rsidR="00724DE2" w:rsidRPr="00724DE2" w:rsidRDefault="00724DE2" w:rsidP="00724DE2">
            <w:pPr>
              <w:spacing w:line="240" w:lineRule="auto"/>
              <w:rPr>
                <w:rFonts w:ascii="Calibri" w:eastAsia="Times New Roman" w:hAnsi="Calibri" w:cs="Calibri"/>
                <w:color w:val="000000"/>
                <w:sz w:val="18"/>
                <w:szCs w:val="18"/>
                <w:lang w:val="de-AT" w:eastAsia="de-AT"/>
              </w:rPr>
            </w:pPr>
          </w:p>
        </w:tc>
        <w:tc>
          <w:tcPr>
            <w:tcW w:w="961" w:type="dxa"/>
            <w:vMerge/>
            <w:vAlign w:val="center"/>
            <w:hideMark/>
          </w:tcPr>
          <w:p w14:paraId="064CEC73" w14:textId="77777777" w:rsidR="00724DE2" w:rsidRPr="00724DE2" w:rsidRDefault="00724DE2" w:rsidP="00724DE2">
            <w:pPr>
              <w:spacing w:line="240" w:lineRule="auto"/>
              <w:rPr>
                <w:rFonts w:ascii="Calibri" w:eastAsia="Times New Roman" w:hAnsi="Calibri" w:cs="Calibri"/>
                <w:color w:val="000000"/>
                <w:sz w:val="18"/>
                <w:szCs w:val="18"/>
                <w:lang w:val="de-AT" w:eastAsia="de-AT"/>
              </w:rPr>
            </w:pPr>
          </w:p>
        </w:tc>
        <w:tc>
          <w:tcPr>
            <w:tcW w:w="960" w:type="dxa"/>
            <w:vMerge w:val="restart"/>
            <w:shd w:val="clear" w:color="auto" w:fill="auto"/>
            <w:vAlign w:val="center"/>
            <w:hideMark/>
          </w:tcPr>
          <w:p w14:paraId="35C71D29" w14:textId="77777777" w:rsidR="00724DE2" w:rsidRPr="00724DE2" w:rsidRDefault="00724DE2" w:rsidP="00724DE2">
            <w:pPr>
              <w:spacing w:line="240" w:lineRule="auto"/>
              <w:jc w:val="center"/>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Lebend-</w:t>
            </w:r>
            <w:r w:rsidRPr="00724DE2">
              <w:rPr>
                <w:rFonts w:ascii="Calibri" w:eastAsia="Times New Roman" w:hAnsi="Calibri" w:cs="Calibri"/>
                <w:color w:val="000000"/>
                <w:sz w:val="18"/>
                <w:szCs w:val="18"/>
                <w:lang w:val="de-AT" w:eastAsia="de-AT"/>
              </w:rPr>
              <w:br/>
              <w:t>geborene</w:t>
            </w:r>
          </w:p>
        </w:tc>
        <w:tc>
          <w:tcPr>
            <w:tcW w:w="933" w:type="dxa"/>
            <w:vMerge w:val="restart"/>
            <w:shd w:val="clear" w:color="auto" w:fill="auto"/>
            <w:vAlign w:val="center"/>
            <w:hideMark/>
          </w:tcPr>
          <w:p w14:paraId="32B66E7C" w14:textId="77777777" w:rsidR="00724DE2" w:rsidRPr="00724DE2" w:rsidRDefault="00724DE2" w:rsidP="00724DE2">
            <w:pPr>
              <w:spacing w:line="240" w:lineRule="auto"/>
              <w:jc w:val="center"/>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Sterbefälle</w:t>
            </w:r>
          </w:p>
        </w:tc>
        <w:tc>
          <w:tcPr>
            <w:tcW w:w="1921" w:type="dxa"/>
            <w:gridSpan w:val="2"/>
            <w:shd w:val="clear" w:color="auto" w:fill="auto"/>
            <w:vAlign w:val="center"/>
            <w:hideMark/>
          </w:tcPr>
          <w:p w14:paraId="1BB9548E" w14:textId="77777777" w:rsidR="00724DE2" w:rsidRPr="00724DE2" w:rsidRDefault="00724DE2" w:rsidP="00724DE2">
            <w:pPr>
              <w:spacing w:line="240" w:lineRule="auto"/>
              <w:jc w:val="center"/>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Saldo</w:t>
            </w:r>
          </w:p>
        </w:tc>
        <w:tc>
          <w:tcPr>
            <w:tcW w:w="960" w:type="dxa"/>
            <w:vMerge w:val="restart"/>
            <w:shd w:val="clear" w:color="auto" w:fill="auto"/>
            <w:vAlign w:val="center"/>
            <w:hideMark/>
          </w:tcPr>
          <w:p w14:paraId="2FED8655" w14:textId="77777777" w:rsidR="00724DE2" w:rsidRPr="00724DE2" w:rsidRDefault="00724DE2" w:rsidP="00724DE2">
            <w:pPr>
              <w:spacing w:line="240" w:lineRule="auto"/>
              <w:jc w:val="center"/>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Zuzüge</w:t>
            </w:r>
          </w:p>
        </w:tc>
        <w:tc>
          <w:tcPr>
            <w:tcW w:w="960" w:type="dxa"/>
            <w:vMerge w:val="restart"/>
            <w:shd w:val="clear" w:color="auto" w:fill="auto"/>
            <w:vAlign w:val="center"/>
            <w:hideMark/>
          </w:tcPr>
          <w:p w14:paraId="46472DF1" w14:textId="77777777" w:rsidR="00724DE2" w:rsidRPr="00724DE2" w:rsidRDefault="00724DE2" w:rsidP="00724DE2">
            <w:pPr>
              <w:spacing w:line="240" w:lineRule="auto"/>
              <w:jc w:val="center"/>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Wegzüge</w:t>
            </w:r>
          </w:p>
        </w:tc>
        <w:tc>
          <w:tcPr>
            <w:tcW w:w="1920" w:type="dxa"/>
            <w:gridSpan w:val="2"/>
            <w:shd w:val="clear" w:color="auto" w:fill="auto"/>
            <w:vAlign w:val="center"/>
            <w:hideMark/>
          </w:tcPr>
          <w:p w14:paraId="33BA3FD5" w14:textId="77777777" w:rsidR="00724DE2" w:rsidRPr="00724DE2" w:rsidRDefault="00724DE2" w:rsidP="00724DE2">
            <w:pPr>
              <w:spacing w:line="240" w:lineRule="auto"/>
              <w:jc w:val="center"/>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Saldo</w:t>
            </w:r>
          </w:p>
        </w:tc>
        <w:tc>
          <w:tcPr>
            <w:tcW w:w="1008" w:type="dxa"/>
            <w:vMerge/>
            <w:vAlign w:val="center"/>
          </w:tcPr>
          <w:p w14:paraId="0C0ABBEB" w14:textId="77777777" w:rsidR="00724DE2" w:rsidRPr="00724DE2" w:rsidRDefault="00724DE2" w:rsidP="00724DE2">
            <w:pPr>
              <w:spacing w:line="240" w:lineRule="auto"/>
              <w:rPr>
                <w:rFonts w:ascii="Calibri" w:eastAsia="Times New Roman" w:hAnsi="Calibri" w:cs="Calibri"/>
                <w:color w:val="000000"/>
                <w:sz w:val="18"/>
                <w:szCs w:val="18"/>
                <w:lang w:val="de-AT" w:eastAsia="de-AT"/>
              </w:rPr>
            </w:pPr>
          </w:p>
        </w:tc>
        <w:tc>
          <w:tcPr>
            <w:tcW w:w="961" w:type="dxa"/>
            <w:vMerge/>
            <w:vAlign w:val="center"/>
          </w:tcPr>
          <w:p w14:paraId="5858994C" w14:textId="77777777" w:rsidR="00724DE2" w:rsidRPr="00724DE2" w:rsidRDefault="00724DE2" w:rsidP="00724DE2">
            <w:pPr>
              <w:spacing w:line="240" w:lineRule="auto"/>
              <w:rPr>
                <w:rFonts w:ascii="Calibri" w:eastAsia="Times New Roman" w:hAnsi="Calibri" w:cs="Calibri"/>
                <w:color w:val="000000"/>
                <w:sz w:val="18"/>
                <w:szCs w:val="18"/>
                <w:lang w:val="de-AT" w:eastAsia="de-AT"/>
              </w:rPr>
            </w:pPr>
          </w:p>
        </w:tc>
      </w:tr>
      <w:tr w:rsidR="00724DE2" w:rsidRPr="00724DE2" w14:paraId="4DA4295E" w14:textId="77777777" w:rsidTr="00724DE2">
        <w:trPr>
          <w:trHeight w:val="528"/>
        </w:trPr>
        <w:tc>
          <w:tcPr>
            <w:tcW w:w="1701" w:type="dxa"/>
            <w:vMerge/>
            <w:shd w:val="clear" w:color="auto" w:fill="auto"/>
            <w:vAlign w:val="center"/>
            <w:hideMark/>
          </w:tcPr>
          <w:p w14:paraId="032B9FAD" w14:textId="48241759" w:rsidR="00724DE2" w:rsidRPr="00724DE2" w:rsidRDefault="00724DE2" w:rsidP="00724DE2">
            <w:pPr>
              <w:spacing w:line="240" w:lineRule="auto"/>
              <w:rPr>
                <w:rFonts w:ascii="Calibri" w:eastAsia="Times New Roman" w:hAnsi="Calibri" w:cs="Calibri"/>
                <w:color w:val="000000"/>
                <w:sz w:val="18"/>
                <w:szCs w:val="18"/>
                <w:lang w:val="de-AT" w:eastAsia="de-AT"/>
              </w:rPr>
            </w:pPr>
          </w:p>
        </w:tc>
        <w:tc>
          <w:tcPr>
            <w:tcW w:w="961" w:type="dxa"/>
            <w:vMerge/>
            <w:vAlign w:val="center"/>
            <w:hideMark/>
          </w:tcPr>
          <w:p w14:paraId="3B994FC5" w14:textId="77777777" w:rsidR="00724DE2" w:rsidRPr="00724DE2" w:rsidRDefault="00724DE2" w:rsidP="00724DE2">
            <w:pPr>
              <w:spacing w:line="240" w:lineRule="auto"/>
              <w:rPr>
                <w:rFonts w:ascii="Calibri" w:eastAsia="Times New Roman" w:hAnsi="Calibri" w:cs="Calibri"/>
                <w:color w:val="000000"/>
                <w:sz w:val="18"/>
                <w:szCs w:val="18"/>
                <w:lang w:val="de-AT" w:eastAsia="de-AT"/>
              </w:rPr>
            </w:pPr>
          </w:p>
        </w:tc>
        <w:tc>
          <w:tcPr>
            <w:tcW w:w="960" w:type="dxa"/>
            <w:vMerge/>
            <w:vAlign w:val="center"/>
            <w:hideMark/>
          </w:tcPr>
          <w:p w14:paraId="3DD2B799" w14:textId="77777777" w:rsidR="00724DE2" w:rsidRPr="00724DE2" w:rsidRDefault="00724DE2" w:rsidP="00724DE2">
            <w:pPr>
              <w:spacing w:line="240" w:lineRule="auto"/>
              <w:rPr>
                <w:rFonts w:ascii="Calibri" w:eastAsia="Times New Roman" w:hAnsi="Calibri" w:cs="Calibri"/>
                <w:color w:val="000000"/>
                <w:sz w:val="18"/>
                <w:szCs w:val="18"/>
                <w:lang w:val="de-AT" w:eastAsia="de-AT"/>
              </w:rPr>
            </w:pPr>
          </w:p>
        </w:tc>
        <w:tc>
          <w:tcPr>
            <w:tcW w:w="933" w:type="dxa"/>
            <w:vMerge/>
            <w:vAlign w:val="center"/>
            <w:hideMark/>
          </w:tcPr>
          <w:p w14:paraId="57DA3396" w14:textId="77777777" w:rsidR="00724DE2" w:rsidRPr="00724DE2" w:rsidRDefault="00724DE2" w:rsidP="00724DE2">
            <w:pPr>
              <w:spacing w:line="240" w:lineRule="auto"/>
              <w:rPr>
                <w:rFonts w:ascii="Calibri" w:eastAsia="Times New Roman" w:hAnsi="Calibri" w:cs="Calibri"/>
                <w:color w:val="000000"/>
                <w:sz w:val="18"/>
                <w:szCs w:val="18"/>
                <w:lang w:val="de-AT" w:eastAsia="de-AT"/>
              </w:rPr>
            </w:pPr>
          </w:p>
        </w:tc>
        <w:tc>
          <w:tcPr>
            <w:tcW w:w="960" w:type="dxa"/>
            <w:shd w:val="clear" w:color="auto" w:fill="auto"/>
            <w:vAlign w:val="center"/>
            <w:hideMark/>
          </w:tcPr>
          <w:p w14:paraId="68F9D483" w14:textId="77777777" w:rsidR="00724DE2" w:rsidRPr="00724DE2" w:rsidRDefault="00724DE2" w:rsidP="00724DE2">
            <w:pPr>
              <w:spacing w:line="240" w:lineRule="auto"/>
              <w:jc w:val="center"/>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absolut</w:t>
            </w:r>
          </w:p>
        </w:tc>
        <w:tc>
          <w:tcPr>
            <w:tcW w:w="961" w:type="dxa"/>
            <w:shd w:val="clear" w:color="auto" w:fill="auto"/>
            <w:vAlign w:val="center"/>
            <w:hideMark/>
          </w:tcPr>
          <w:p w14:paraId="535A8952" w14:textId="77777777" w:rsidR="00724DE2" w:rsidRPr="00724DE2" w:rsidRDefault="00724DE2" w:rsidP="00724DE2">
            <w:pPr>
              <w:spacing w:line="240" w:lineRule="auto"/>
              <w:jc w:val="center"/>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je 1 000</w:t>
            </w:r>
            <w:r w:rsidRPr="00724DE2">
              <w:rPr>
                <w:rFonts w:ascii="Calibri" w:eastAsia="Times New Roman" w:hAnsi="Calibri" w:cs="Calibri"/>
                <w:color w:val="000000"/>
                <w:sz w:val="18"/>
                <w:szCs w:val="18"/>
                <w:lang w:val="de-AT" w:eastAsia="de-AT"/>
              </w:rPr>
              <w:br/>
              <w:t>der Bev.</w:t>
            </w:r>
          </w:p>
        </w:tc>
        <w:tc>
          <w:tcPr>
            <w:tcW w:w="960" w:type="dxa"/>
            <w:vMerge/>
            <w:vAlign w:val="center"/>
            <w:hideMark/>
          </w:tcPr>
          <w:p w14:paraId="5352DF90" w14:textId="77777777" w:rsidR="00724DE2" w:rsidRPr="00724DE2" w:rsidRDefault="00724DE2" w:rsidP="00724DE2">
            <w:pPr>
              <w:spacing w:line="240" w:lineRule="auto"/>
              <w:rPr>
                <w:rFonts w:ascii="Calibri" w:eastAsia="Times New Roman" w:hAnsi="Calibri" w:cs="Calibri"/>
                <w:color w:val="000000"/>
                <w:sz w:val="18"/>
                <w:szCs w:val="18"/>
                <w:lang w:val="de-AT" w:eastAsia="de-AT"/>
              </w:rPr>
            </w:pPr>
          </w:p>
        </w:tc>
        <w:tc>
          <w:tcPr>
            <w:tcW w:w="960" w:type="dxa"/>
            <w:vMerge/>
            <w:vAlign w:val="center"/>
            <w:hideMark/>
          </w:tcPr>
          <w:p w14:paraId="2D5769CF" w14:textId="77777777" w:rsidR="00724DE2" w:rsidRPr="00724DE2" w:rsidRDefault="00724DE2" w:rsidP="00724DE2">
            <w:pPr>
              <w:spacing w:line="240" w:lineRule="auto"/>
              <w:rPr>
                <w:rFonts w:ascii="Calibri" w:eastAsia="Times New Roman" w:hAnsi="Calibri" w:cs="Calibri"/>
                <w:color w:val="000000"/>
                <w:sz w:val="18"/>
                <w:szCs w:val="18"/>
                <w:lang w:val="de-AT" w:eastAsia="de-AT"/>
              </w:rPr>
            </w:pPr>
          </w:p>
        </w:tc>
        <w:tc>
          <w:tcPr>
            <w:tcW w:w="960" w:type="dxa"/>
            <w:shd w:val="clear" w:color="auto" w:fill="auto"/>
            <w:vAlign w:val="center"/>
            <w:hideMark/>
          </w:tcPr>
          <w:p w14:paraId="0D830384" w14:textId="77777777" w:rsidR="00724DE2" w:rsidRPr="00724DE2" w:rsidRDefault="00724DE2" w:rsidP="00724DE2">
            <w:pPr>
              <w:spacing w:line="240" w:lineRule="auto"/>
              <w:jc w:val="center"/>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absolut</w:t>
            </w:r>
          </w:p>
        </w:tc>
        <w:tc>
          <w:tcPr>
            <w:tcW w:w="960" w:type="dxa"/>
            <w:shd w:val="clear" w:color="auto" w:fill="auto"/>
            <w:vAlign w:val="center"/>
            <w:hideMark/>
          </w:tcPr>
          <w:p w14:paraId="762AA635" w14:textId="77777777" w:rsidR="00724DE2" w:rsidRPr="00724DE2" w:rsidRDefault="00724DE2" w:rsidP="00724DE2">
            <w:pPr>
              <w:spacing w:line="240" w:lineRule="auto"/>
              <w:jc w:val="center"/>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je 1 000</w:t>
            </w:r>
            <w:r w:rsidRPr="00724DE2">
              <w:rPr>
                <w:rFonts w:ascii="Calibri" w:eastAsia="Times New Roman" w:hAnsi="Calibri" w:cs="Calibri"/>
                <w:color w:val="000000"/>
                <w:sz w:val="18"/>
                <w:szCs w:val="18"/>
                <w:lang w:val="de-AT" w:eastAsia="de-AT"/>
              </w:rPr>
              <w:br/>
              <w:t>der Bev.</w:t>
            </w:r>
          </w:p>
        </w:tc>
        <w:tc>
          <w:tcPr>
            <w:tcW w:w="1008" w:type="dxa"/>
            <w:vMerge/>
            <w:vAlign w:val="center"/>
          </w:tcPr>
          <w:p w14:paraId="7C0F9F8C" w14:textId="77777777" w:rsidR="00724DE2" w:rsidRPr="00724DE2" w:rsidRDefault="00724DE2" w:rsidP="00724DE2">
            <w:pPr>
              <w:spacing w:line="240" w:lineRule="auto"/>
              <w:rPr>
                <w:rFonts w:ascii="Calibri" w:eastAsia="Times New Roman" w:hAnsi="Calibri" w:cs="Calibri"/>
                <w:color w:val="000000"/>
                <w:sz w:val="18"/>
                <w:szCs w:val="18"/>
                <w:lang w:val="de-AT" w:eastAsia="de-AT"/>
              </w:rPr>
            </w:pPr>
          </w:p>
        </w:tc>
        <w:tc>
          <w:tcPr>
            <w:tcW w:w="961" w:type="dxa"/>
            <w:vMerge/>
            <w:vAlign w:val="center"/>
          </w:tcPr>
          <w:p w14:paraId="7DDAA544" w14:textId="77777777" w:rsidR="00724DE2" w:rsidRPr="00724DE2" w:rsidRDefault="00724DE2" w:rsidP="00724DE2">
            <w:pPr>
              <w:spacing w:line="240" w:lineRule="auto"/>
              <w:rPr>
                <w:rFonts w:ascii="Calibri" w:eastAsia="Times New Roman" w:hAnsi="Calibri" w:cs="Calibri"/>
                <w:color w:val="000000"/>
                <w:sz w:val="18"/>
                <w:szCs w:val="18"/>
                <w:lang w:val="de-AT" w:eastAsia="de-AT"/>
              </w:rPr>
            </w:pPr>
          </w:p>
        </w:tc>
      </w:tr>
      <w:tr w:rsidR="00C27E46" w:rsidRPr="00C27E46" w14:paraId="36C9AB9B" w14:textId="77777777" w:rsidTr="000E0CBF">
        <w:trPr>
          <w:trHeight w:val="258"/>
        </w:trPr>
        <w:tc>
          <w:tcPr>
            <w:tcW w:w="1701" w:type="dxa"/>
            <w:shd w:val="clear" w:color="auto" w:fill="auto"/>
            <w:noWrap/>
            <w:vAlign w:val="bottom"/>
          </w:tcPr>
          <w:p w14:paraId="3B421A1D" w14:textId="40D0CA2B" w:rsidR="00C27E46" w:rsidRPr="00724DE2" w:rsidRDefault="00C27E46" w:rsidP="00C27E46">
            <w:pPr>
              <w:spacing w:line="240" w:lineRule="auto"/>
              <w:rPr>
                <w:rFonts w:ascii="Calibri" w:eastAsia="Times New Roman" w:hAnsi="Calibri" w:cs="Calibri"/>
                <w:color w:val="000000"/>
                <w:sz w:val="18"/>
                <w:szCs w:val="18"/>
                <w:lang w:val="de-AT" w:eastAsia="de-AT"/>
              </w:rPr>
            </w:pPr>
            <w:r w:rsidRPr="00C27E46">
              <w:rPr>
                <w:rFonts w:ascii="Calibri" w:eastAsia="Times New Roman" w:hAnsi="Calibri" w:cs="Calibri"/>
                <w:color w:val="000000"/>
                <w:sz w:val="18"/>
                <w:szCs w:val="18"/>
                <w:lang w:val="de-AT" w:eastAsia="de-AT"/>
              </w:rPr>
              <w:t>Niederösterreich</w:t>
            </w:r>
          </w:p>
        </w:tc>
        <w:tc>
          <w:tcPr>
            <w:tcW w:w="961" w:type="dxa"/>
            <w:shd w:val="clear" w:color="auto" w:fill="auto"/>
            <w:noWrap/>
            <w:vAlign w:val="bottom"/>
          </w:tcPr>
          <w:p w14:paraId="71F0977C" w14:textId="24E89D94" w:rsidR="00C27E46" w:rsidRPr="00724DE2" w:rsidRDefault="00C27E46" w:rsidP="00C27E46">
            <w:pPr>
              <w:spacing w:line="240" w:lineRule="auto"/>
              <w:jc w:val="right"/>
              <w:rPr>
                <w:rFonts w:ascii="Calibri" w:eastAsia="Times New Roman" w:hAnsi="Calibri" w:cs="Calibri"/>
                <w:color w:val="000000"/>
                <w:sz w:val="18"/>
                <w:szCs w:val="18"/>
                <w:lang w:val="de-AT" w:eastAsia="de-AT"/>
              </w:rPr>
            </w:pPr>
            <w:r w:rsidRPr="00C27E46">
              <w:rPr>
                <w:rFonts w:ascii="Calibri" w:eastAsia="Times New Roman" w:hAnsi="Calibri" w:cs="Calibri"/>
                <w:color w:val="000000"/>
                <w:sz w:val="18"/>
                <w:szCs w:val="18"/>
                <w:lang w:val="de-AT" w:eastAsia="de-AT"/>
              </w:rPr>
              <w:t>1.723.723</w:t>
            </w:r>
          </w:p>
        </w:tc>
        <w:tc>
          <w:tcPr>
            <w:tcW w:w="960" w:type="dxa"/>
            <w:shd w:val="clear" w:color="auto" w:fill="auto"/>
            <w:noWrap/>
            <w:vAlign w:val="bottom"/>
          </w:tcPr>
          <w:p w14:paraId="35F05ECB" w14:textId="3FD585F1" w:rsidR="00C27E46" w:rsidRPr="00724DE2" w:rsidRDefault="00C27E46" w:rsidP="00C27E46">
            <w:pPr>
              <w:spacing w:line="240" w:lineRule="auto"/>
              <w:jc w:val="right"/>
              <w:rPr>
                <w:rFonts w:ascii="Calibri" w:eastAsia="Times New Roman" w:hAnsi="Calibri" w:cs="Calibri"/>
                <w:color w:val="000000"/>
                <w:sz w:val="18"/>
                <w:szCs w:val="18"/>
                <w:lang w:val="de-AT" w:eastAsia="de-AT"/>
              </w:rPr>
            </w:pPr>
            <w:r w:rsidRPr="00C27E46">
              <w:rPr>
                <w:rFonts w:ascii="Calibri" w:eastAsia="Times New Roman" w:hAnsi="Calibri" w:cs="Calibri"/>
                <w:color w:val="000000"/>
                <w:sz w:val="18"/>
                <w:szCs w:val="18"/>
                <w:lang w:val="de-AT" w:eastAsia="de-AT"/>
              </w:rPr>
              <w:t>13.262</w:t>
            </w:r>
          </w:p>
        </w:tc>
        <w:tc>
          <w:tcPr>
            <w:tcW w:w="933" w:type="dxa"/>
            <w:shd w:val="clear" w:color="auto" w:fill="auto"/>
            <w:noWrap/>
            <w:vAlign w:val="bottom"/>
          </w:tcPr>
          <w:p w14:paraId="61715734" w14:textId="7D8033C8" w:rsidR="00C27E46" w:rsidRPr="00724DE2" w:rsidRDefault="00C27E46" w:rsidP="00C27E46">
            <w:pPr>
              <w:spacing w:line="240" w:lineRule="auto"/>
              <w:jc w:val="right"/>
              <w:rPr>
                <w:rFonts w:ascii="Calibri" w:eastAsia="Times New Roman" w:hAnsi="Calibri" w:cs="Calibri"/>
                <w:color w:val="000000"/>
                <w:sz w:val="18"/>
                <w:szCs w:val="18"/>
                <w:lang w:val="de-AT" w:eastAsia="de-AT"/>
              </w:rPr>
            </w:pPr>
            <w:r w:rsidRPr="00C27E46">
              <w:rPr>
                <w:rFonts w:ascii="Calibri" w:eastAsia="Times New Roman" w:hAnsi="Calibri" w:cs="Calibri"/>
                <w:color w:val="000000"/>
                <w:sz w:val="18"/>
                <w:szCs w:val="18"/>
                <w:lang w:val="de-AT" w:eastAsia="de-AT"/>
              </w:rPr>
              <w:t>18.715</w:t>
            </w:r>
          </w:p>
        </w:tc>
        <w:tc>
          <w:tcPr>
            <w:tcW w:w="960" w:type="dxa"/>
            <w:shd w:val="clear" w:color="auto" w:fill="FFFF00"/>
            <w:noWrap/>
            <w:vAlign w:val="bottom"/>
          </w:tcPr>
          <w:p w14:paraId="542B4E57" w14:textId="3A4F7991" w:rsidR="00C27E46" w:rsidRPr="00724DE2" w:rsidRDefault="00C27E46" w:rsidP="00C27E46">
            <w:pPr>
              <w:spacing w:line="240" w:lineRule="auto"/>
              <w:jc w:val="right"/>
              <w:rPr>
                <w:rFonts w:ascii="Calibri" w:eastAsia="Times New Roman" w:hAnsi="Calibri" w:cs="Calibri"/>
                <w:color w:val="000000"/>
                <w:sz w:val="18"/>
                <w:szCs w:val="18"/>
                <w:lang w:val="de-AT" w:eastAsia="de-AT"/>
              </w:rPr>
            </w:pPr>
            <w:r w:rsidRPr="00C27E46">
              <w:rPr>
                <w:rFonts w:ascii="Calibri" w:eastAsia="Times New Roman" w:hAnsi="Calibri" w:cs="Calibri"/>
                <w:color w:val="000000"/>
                <w:sz w:val="18"/>
                <w:szCs w:val="18"/>
                <w:lang w:val="de-AT" w:eastAsia="de-AT"/>
              </w:rPr>
              <w:t>-5.453</w:t>
            </w:r>
          </w:p>
        </w:tc>
        <w:tc>
          <w:tcPr>
            <w:tcW w:w="961" w:type="dxa"/>
            <w:shd w:val="clear" w:color="auto" w:fill="auto"/>
            <w:noWrap/>
            <w:vAlign w:val="bottom"/>
          </w:tcPr>
          <w:p w14:paraId="1C694164" w14:textId="15F77789" w:rsidR="00C27E46" w:rsidRPr="00724DE2" w:rsidRDefault="00C27E46" w:rsidP="00C27E46">
            <w:pPr>
              <w:spacing w:line="240" w:lineRule="auto"/>
              <w:jc w:val="right"/>
              <w:rPr>
                <w:rFonts w:ascii="Calibri" w:eastAsia="Times New Roman" w:hAnsi="Calibri" w:cs="Calibri"/>
                <w:color w:val="000000"/>
                <w:sz w:val="18"/>
                <w:szCs w:val="18"/>
                <w:lang w:val="de-AT" w:eastAsia="de-AT"/>
              </w:rPr>
            </w:pPr>
            <w:r w:rsidRPr="00C27E46">
              <w:rPr>
                <w:rFonts w:ascii="Calibri" w:eastAsia="Times New Roman" w:hAnsi="Calibri" w:cs="Calibri"/>
                <w:color w:val="000000"/>
                <w:sz w:val="18"/>
                <w:szCs w:val="18"/>
                <w:lang w:val="de-AT" w:eastAsia="de-AT"/>
              </w:rPr>
              <w:t>-3,2</w:t>
            </w:r>
          </w:p>
        </w:tc>
        <w:tc>
          <w:tcPr>
            <w:tcW w:w="960" w:type="dxa"/>
            <w:shd w:val="clear" w:color="auto" w:fill="auto"/>
            <w:noWrap/>
            <w:vAlign w:val="bottom"/>
          </w:tcPr>
          <w:p w14:paraId="0CFE4E61" w14:textId="0A420489" w:rsidR="00C27E46" w:rsidRPr="00724DE2" w:rsidRDefault="00C27E46" w:rsidP="00C27E46">
            <w:pPr>
              <w:spacing w:line="240" w:lineRule="auto"/>
              <w:jc w:val="right"/>
              <w:rPr>
                <w:rFonts w:ascii="Calibri" w:eastAsia="Times New Roman" w:hAnsi="Calibri" w:cs="Calibri"/>
                <w:color w:val="000000"/>
                <w:sz w:val="18"/>
                <w:szCs w:val="18"/>
                <w:lang w:val="de-AT" w:eastAsia="de-AT"/>
              </w:rPr>
            </w:pPr>
            <w:r w:rsidRPr="00C27E46">
              <w:rPr>
                <w:rFonts w:ascii="Calibri" w:eastAsia="Times New Roman" w:hAnsi="Calibri" w:cs="Calibri"/>
                <w:color w:val="000000"/>
                <w:sz w:val="18"/>
                <w:szCs w:val="18"/>
                <w:lang w:val="de-AT" w:eastAsia="de-AT"/>
              </w:rPr>
              <w:t>51.527</w:t>
            </w:r>
          </w:p>
        </w:tc>
        <w:tc>
          <w:tcPr>
            <w:tcW w:w="960" w:type="dxa"/>
            <w:shd w:val="clear" w:color="auto" w:fill="auto"/>
            <w:noWrap/>
            <w:vAlign w:val="bottom"/>
          </w:tcPr>
          <w:p w14:paraId="1311A9CC" w14:textId="21B4BAC9" w:rsidR="00C27E46" w:rsidRPr="00724DE2" w:rsidRDefault="00C27E46" w:rsidP="00C27E46">
            <w:pPr>
              <w:spacing w:line="240" w:lineRule="auto"/>
              <w:jc w:val="right"/>
              <w:rPr>
                <w:rFonts w:ascii="Calibri" w:eastAsia="Times New Roman" w:hAnsi="Calibri" w:cs="Calibri"/>
                <w:color w:val="000000"/>
                <w:sz w:val="18"/>
                <w:szCs w:val="18"/>
                <w:lang w:val="de-AT" w:eastAsia="de-AT"/>
              </w:rPr>
            </w:pPr>
            <w:r w:rsidRPr="00C27E46">
              <w:rPr>
                <w:rFonts w:ascii="Calibri" w:eastAsia="Times New Roman" w:hAnsi="Calibri" w:cs="Calibri"/>
                <w:color w:val="000000"/>
                <w:sz w:val="18"/>
                <w:szCs w:val="18"/>
                <w:lang w:val="de-AT" w:eastAsia="de-AT"/>
              </w:rPr>
              <w:t>42.276</w:t>
            </w:r>
          </w:p>
        </w:tc>
        <w:tc>
          <w:tcPr>
            <w:tcW w:w="960" w:type="dxa"/>
            <w:shd w:val="clear" w:color="auto" w:fill="FFFF00"/>
            <w:noWrap/>
            <w:vAlign w:val="bottom"/>
          </w:tcPr>
          <w:p w14:paraId="27ABA052" w14:textId="2D6E81A5" w:rsidR="00C27E46" w:rsidRPr="00724DE2" w:rsidRDefault="00C27E46" w:rsidP="00C27E46">
            <w:pPr>
              <w:spacing w:line="240" w:lineRule="auto"/>
              <w:jc w:val="right"/>
              <w:rPr>
                <w:rFonts w:ascii="Calibri" w:eastAsia="Times New Roman" w:hAnsi="Calibri" w:cs="Calibri"/>
                <w:color w:val="000000"/>
                <w:sz w:val="18"/>
                <w:szCs w:val="18"/>
                <w:lang w:val="de-AT" w:eastAsia="de-AT"/>
              </w:rPr>
            </w:pPr>
            <w:r w:rsidRPr="00C27E46">
              <w:rPr>
                <w:rFonts w:ascii="Calibri" w:eastAsia="Times New Roman" w:hAnsi="Calibri" w:cs="Calibri"/>
                <w:color w:val="000000"/>
                <w:sz w:val="18"/>
                <w:szCs w:val="18"/>
                <w:lang w:val="de-AT" w:eastAsia="de-AT"/>
              </w:rPr>
              <w:t>9.251</w:t>
            </w:r>
          </w:p>
        </w:tc>
        <w:tc>
          <w:tcPr>
            <w:tcW w:w="960" w:type="dxa"/>
            <w:shd w:val="clear" w:color="auto" w:fill="auto"/>
            <w:noWrap/>
            <w:vAlign w:val="bottom"/>
          </w:tcPr>
          <w:p w14:paraId="7E323FE1" w14:textId="03705B81" w:rsidR="00C27E46" w:rsidRPr="00724DE2" w:rsidRDefault="00C27E46" w:rsidP="00C27E46">
            <w:pPr>
              <w:spacing w:line="240" w:lineRule="auto"/>
              <w:jc w:val="right"/>
              <w:rPr>
                <w:rFonts w:ascii="Calibri" w:eastAsia="Times New Roman" w:hAnsi="Calibri" w:cs="Calibri"/>
                <w:color w:val="000000"/>
                <w:sz w:val="18"/>
                <w:szCs w:val="18"/>
                <w:lang w:val="de-AT" w:eastAsia="de-AT"/>
              </w:rPr>
            </w:pPr>
            <w:r w:rsidRPr="00C27E46">
              <w:rPr>
                <w:rFonts w:ascii="Calibri" w:eastAsia="Times New Roman" w:hAnsi="Calibri" w:cs="Calibri"/>
                <w:color w:val="000000"/>
                <w:sz w:val="18"/>
                <w:szCs w:val="18"/>
                <w:lang w:val="de-AT" w:eastAsia="de-AT"/>
              </w:rPr>
              <w:t>5,4</w:t>
            </w:r>
          </w:p>
        </w:tc>
        <w:tc>
          <w:tcPr>
            <w:tcW w:w="1008" w:type="dxa"/>
            <w:shd w:val="clear" w:color="auto" w:fill="auto"/>
            <w:vAlign w:val="center"/>
          </w:tcPr>
          <w:p w14:paraId="68C98FA0" w14:textId="1BD1DD90" w:rsidR="00C27E46" w:rsidRPr="00C27E46" w:rsidRDefault="00C27E46" w:rsidP="00C27E46">
            <w:pPr>
              <w:spacing w:line="240" w:lineRule="auto"/>
              <w:jc w:val="right"/>
              <w:rPr>
                <w:rFonts w:ascii="Calibri" w:eastAsia="Times New Roman" w:hAnsi="Calibri" w:cs="Calibri"/>
                <w:color w:val="000000"/>
                <w:sz w:val="18"/>
                <w:szCs w:val="18"/>
                <w:lang w:val="de-AT" w:eastAsia="de-AT"/>
              </w:rPr>
            </w:pPr>
            <w:r w:rsidRPr="00C27E46">
              <w:rPr>
                <w:rFonts w:ascii="Calibri" w:eastAsia="Times New Roman" w:hAnsi="Calibri" w:cs="Calibri"/>
                <w:color w:val="000000"/>
                <w:sz w:val="18"/>
                <w:szCs w:val="18"/>
                <w:lang w:val="de-AT" w:eastAsia="de-AT"/>
              </w:rPr>
              <w:t>90.833</w:t>
            </w:r>
          </w:p>
        </w:tc>
        <w:tc>
          <w:tcPr>
            <w:tcW w:w="961" w:type="dxa"/>
            <w:shd w:val="clear" w:color="auto" w:fill="auto"/>
            <w:vAlign w:val="center"/>
          </w:tcPr>
          <w:p w14:paraId="1797D4C1" w14:textId="63E9E3A6" w:rsidR="00C27E46" w:rsidRPr="00C27E46" w:rsidRDefault="00C27E46" w:rsidP="00C27E46">
            <w:pPr>
              <w:spacing w:line="240" w:lineRule="auto"/>
              <w:jc w:val="right"/>
              <w:rPr>
                <w:rFonts w:ascii="Calibri" w:eastAsia="Times New Roman" w:hAnsi="Calibri" w:cs="Calibri"/>
                <w:color w:val="000000"/>
                <w:sz w:val="18"/>
                <w:szCs w:val="18"/>
                <w:lang w:val="de-AT" w:eastAsia="de-AT"/>
              </w:rPr>
            </w:pPr>
            <w:r w:rsidRPr="00C27E46">
              <w:rPr>
                <w:rFonts w:ascii="Calibri" w:eastAsia="Times New Roman" w:hAnsi="Calibri" w:cs="Calibri"/>
                <w:color w:val="000000"/>
                <w:sz w:val="18"/>
                <w:szCs w:val="18"/>
                <w:lang w:val="de-AT" w:eastAsia="de-AT"/>
              </w:rPr>
              <w:t>1.727.514</w:t>
            </w:r>
          </w:p>
        </w:tc>
      </w:tr>
      <w:tr w:rsidR="00724DE2" w:rsidRPr="00724DE2" w14:paraId="3420C88F" w14:textId="77777777" w:rsidTr="000E0CBF">
        <w:trPr>
          <w:trHeight w:val="258"/>
        </w:trPr>
        <w:tc>
          <w:tcPr>
            <w:tcW w:w="1701" w:type="dxa"/>
            <w:shd w:val="clear" w:color="000000" w:fill="FFFF00"/>
            <w:noWrap/>
            <w:vAlign w:val="center"/>
            <w:hideMark/>
          </w:tcPr>
          <w:p w14:paraId="280B8BB1" w14:textId="77777777" w:rsidR="00724DE2" w:rsidRPr="00724DE2" w:rsidRDefault="00724DE2" w:rsidP="00724DE2">
            <w:pPr>
              <w:spacing w:line="240" w:lineRule="auto"/>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Waldviertel</w:t>
            </w:r>
          </w:p>
        </w:tc>
        <w:tc>
          <w:tcPr>
            <w:tcW w:w="961" w:type="dxa"/>
            <w:shd w:val="clear" w:color="000000" w:fill="FFFF00"/>
            <w:noWrap/>
            <w:vAlign w:val="center"/>
            <w:hideMark/>
          </w:tcPr>
          <w:p w14:paraId="5DFAC0DE"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215.838</w:t>
            </w:r>
          </w:p>
        </w:tc>
        <w:tc>
          <w:tcPr>
            <w:tcW w:w="960" w:type="dxa"/>
            <w:shd w:val="clear" w:color="000000" w:fill="FFFF00"/>
            <w:noWrap/>
            <w:vAlign w:val="center"/>
            <w:hideMark/>
          </w:tcPr>
          <w:p w14:paraId="10A52577"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1.566</w:t>
            </w:r>
          </w:p>
        </w:tc>
        <w:tc>
          <w:tcPr>
            <w:tcW w:w="933" w:type="dxa"/>
            <w:shd w:val="clear" w:color="000000" w:fill="FFFF00"/>
            <w:noWrap/>
            <w:vAlign w:val="center"/>
            <w:hideMark/>
          </w:tcPr>
          <w:p w14:paraId="2A9AF5F6"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2.686</w:t>
            </w:r>
          </w:p>
        </w:tc>
        <w:tc>
          <w:tcPr>
            <w:tcW w:w="960" w:type="dxa"/>
            <w:shd w:val="clear" w:color="auto" w:fill="FFFF00"/>
            <w:noWrap/>
            <w:vAlign w:val="center"/>
            <w:hideMark/>
          </w:tcPr>
          <w:p w14:paraId="15DAACE5"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-1.120</w:t>
            </w:r>
          </w:p>
        </w:tc>
        <w:tc>
          <w:tcPr>
            <w:tcW w:w="961" w:type="dxa"/>
            <w:shd w:val="clear" w:color="000000" w:fill="FFFF00"/>
            <w:noWrap/>
            <w:vAlign w:val="center"/>
            <w:hideMark/>
          </w:tcPr>
          <w:p w14:paraId="01278E75"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-5,2</w:t>
            </w:r>
          </w:p>
        </w:tc>
        <w:tc>
          <w:tcPr>
            <w:tcW w:w="960" w:type="dxa"/>
            <w:shd w:val="clear" w:color="000000" w:fill="FFFF00"/>
            <w:noWrap/>
            <w:vAlign w:val="center"/>
            <w:hideMark/>
          </w:tcPr>
          <w:p w14:paraId="6590D9FF"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5.752</w:t>
            </w:r>
          </w:p>
        </w:tc>
        <w:tc>
          <w:tcPr>
            <w:tcW w:w="960" w:type="dxa"/>
            <w:shd w:val="clear" w:color="000000" w:fill="FFFF00"/>
            <w:noWrap/>
            <w:vAlign w:val="center"/>
            <w:hideMark/>
          </w:tcPr>
          <w:p w14:paraId="0107EE06"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5.346</w:t>
            </w:r>
          </w:p>
        </w:tc>
        <w:tc>
          <w:tcPr>
            <w:tcW w:w="960" w:type="dxa"/>
            <w:shd w:val="clear" w:color="auto" w:fill="FFFF00"/>
            <w:noWrap/>
            <w:vAlign w:val="center"/>
            <w:hideMark/>
          </w:tcPr>
          <w:p w14:paraId="284307B7"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406</w:t>
            </w:r>
          </w:p>
        </w:tc>
        <w:tc>
          <w:tcPr>
            <w:tcW w:w="960" w:type="dxa"/>
            <w:shd w:val="clear" w:color="000000" w:fill="FFFF00"/>
            <w:noWrap/>
            <w:vAlign w:val="center"/>
            <w:hideMark/>
          </w:tcPr>
          <w:p w14:paraId="2E8BBF6A"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1,9</w:t>
            </w:r>
          </w:p>
        </w:tc>
        <w:tc>
          <w:tcPr>
            <w:tcW w:w="1008" w:type="dxa"/>
            <w:shd w:val="clear" w:color="000000" w:fill="FFFF00"/>
            <w:vAlign w:val="center"/>
          </w:tcPr>
          <w:p w14:paraId="113C7590" w14:textId="4868EB4E"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9.274</w:t>
            </w:r>
          </w:p>
        </w:tc>
        <w:tc>
          <w:tcPr>
            <w:tcW w:w="961" w:type="dxa"/>
            <w:shd w:val="clear" w:color="000000" w:fill="FFFF00"/>
            <w:vAlign w:val="center"/>
          </w:tcPr>
          <w:p w14:paraId="3CFEBE98" w14:textId="6E51AA84"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Pr>
                <w:rFonts w:ascii="Calibri" w:hAnsi="Calibri" w:cs="Calibri"/>
                <w:color w:val="000000"/>
                <w:sz w:val="18"/>
                <w:szCs w:val="18"/>
              </w:rPr>
              <w:t>215.137</w:t>
            </w:r>
          </w:p>
        </w:tc>
      </w:tr>
      <w:tr w:rsidR="00724DE2" w:rsidRPr="00724DE2" w14:paraId="5032A5E6" w14:textId="77777777" w:rsidTr="00C27E46">
        <w:trPr>
          <w:trHeight w:val="258"/>
        </w:trPr>
        <w:tc>
          <w:tcPr>
            <w:tcW w:w="1701" w:type="dxa"/>
            <w:shd w:val="clear" w:color="auto" w:fill="auto"/>
            <w:noWrap/>
            <w:vAlign w:val="center"/>
            <w:hideMark/>
          </w:tcPr>
          <w:p w14:paraId="68BAD2DD" w14:textId="18048491" w:rsidR="00724DE2" w:rsidRPr="00724DE2" w:rsidRDefault="00724DE2" w:rsidP="00724DE2">
            <w:pPr>
              <w:spacing w:line="240" w:lineRule="auto"/>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Krems Stadt</w:t>
            </w:r>
          </w:p>
        </w:tc>
        <w:tc>
          <w:tcPr>
            <w:tcW w:w="961" w:type="dxa"/>
            <w:shd w:val="clear" w:color="auto" w:fill="auto"/>
            <w:noWrap/>
            <w:vAlign w:val="center"/>
            <w:hideMark/>
          </w:tcPr>
          <w:p w14:paraId="62385BF9"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25.363</w:t>
            </w:r>
          </w:p>
        </w:tc>
        <w:tc>
          <w:tcPr>
            <w:tcW w:w="960" w:type="dxa"/>
            <w:shd w:val="clear" w:color="auto" w:fill="auto"/>
            <w:noWrap/>
            <w:vAlign w:val="center"/>
            <w:hideMark/>
          </w:tcPr>
          <w:p w14:paraId="27279C2E"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187</w:t>
            </w:r>
          </w:p>
        </w:tc>
        <w:tc>
          <w:tcPr>
            <w:tcW w:w="933" w:type="dxa"/>
            <w:shd w:val="clear" w:color="auto" w:fill="auto"/>
            <w:noWrap/>
            <w:vAlign w:val="center"/>
            <w:hideMark/>
          </w:tcPr>
          <w:p w14:paraId="359F6921"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317</w:t>
            </w:r>
          </w:p>
        </w:tc>
        <w:tc>
          <w:tcPr>
            <w:tcW w:w="960" w:type="dxa"/>
            <w:shd w:val="clear" w:color="auto" w:fill="FFFF00"/>
            <w:noWrap/>
            <w:vAlign w:val="center"/>
            <w:hideMark/>
          </w:tcPr>
          <w:p w14:paraId="3F90D75A" w14:textId="77777777" w:rsidR="00724DE2" w:rsidRPr="00C27E46" w:rsidRDefault="00724DE2" w:rsidP="00724DE2">
            <w:pPr>
              <w:spacing w:line="240" w:lineRule="auto"/>
              <w:jc w:val="right"/>
              <w:rPr>
                <w:rFonts w:ascii="Calibri" w:eastAsia="Times New Roman" w:hAnsi="Calibri" w:cs="Calibri"/>
                <w:color w:val="000000"/>
                <w:sz w:val="18"/>
                <w:szCs w:val="18"/>
                <w:highlight w:val="yellow"/>
                <w:lang w:val="de-AT" w:eastAsia="de-AT"/>
              </w:rPr>
            </w:pPr>
            <w:r w:rsidRPr="00C27E46">
              <w:rPr>
                <w:rFonts w:ascii="Calibri" w:eastAsia="Times New Roman" w:hAnsi="Calibri" w:cs="Calibri"/>
                <w:color w:val="000000"/>
                <w:sz w:val="18"/>
                <w:szCs w:val="18"/>
                <w:highlight w:val="yellow"/>
                <w:lang w:val="de-AT" w:eastAsia="de-AT"/>
              </w:rPr>
              <w:t>-130</w:t>
            </w:r>
          </w:p>
        </w:tc>
        <w:tc>
          <w:tcPr>
            <w:tcW w:w="961" w:type="dxa"/>
            <w:shd w:val="clear" w:color="auto" w:fill="auto"/>
            <w:noWrap/>
            <w:vAlign w:val="center"/>
            <w:hideMark/>
          </w:tcPr>
          <w:p w14:paraId="32A272A9"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-5,1</w:t>
            </w:r>
          </w:p>
        </w:tc>
        <w:tc>
          <w:tcPr>
            <w:tcW w:w="960" w:type="dxa"/>
            <w:shd w:val="clear" w:color="auto" w:fill="auto"/>
            <w:noWrap/>
            <w:vAlign w:val="center"/>
            <w:hideMark/>
          </w:tcPr>
          <w:p w14:paraId="1D158481"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2.487</w:t>
            </w:r>
          </w:p>
        </w:tc>
        <w:tc>
          <w:tcPr>
            <w:tcW w:w="960" w:type="dxa"/>
            <w:shd w:val="clear" w:color="auto" w:fill="auto"/>
            <w:noWrap/>
            <w:vAlign w:val="center"/>
            <w:hideMark/>
          </w:tcPr>
          <w:p w14:paraId="5D890ACC"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2.256</w:t>
            </w:r>
          </w:p>
        </w:tc>
        <w:tc>
          <w:tcPr>
            <w:tcW w:w="960" w:type="dxa"/>
            <w:shd w:val="clear" w:color="000000" w:fill="FFFF00"/>
            <w:noWrap/>
            <w:vAlign w:val="center"/>
            <w:hideMark/>
          </w:tcPr>
          <w:p w14:paraId="6D702E51"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231</w:t>
            </w:r>
          </w:p>
        </w:tc>
        <w:tc>
          <w:tcPr>
            <w:tcW w:w="960" w:type="dxa"/>
            <w:shd w:val="clear" w:color="auto" w:fill="auto"/>
            <w:noWrap/>
            <w:vAlign w:val="center"/>
            <w:hideMark/>
          </w:tcPr>
          <w:p w14:paraId="03ADBD16"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9,1</w:t>
            </w:r>
          </w:p>
        </w:tc>
        <w:tc>
          <w:tcPr>
            <w:tcW w:w="1008" w:type="dxa"/>
            <w:vAlign w:val="center"/>
          </w:tcPr>
          <w:p w14:paraId="044F300F" w14:textId="7C17DE62"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1.281</w:t>
            </w:r>
          </w:p>
        </w:tc>
        <w:tc>
          <w:tcPr>
            <w:tcW w:w="961" w:type="dxa"/>
            <w:vAlign w:val="center"/>
          </w:tcPr>
          <w:p w14:paraId="7A520F0E" w14:textId="4E078B34"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Pr>
                <w:rFonts w:ascii="Calibri" w:hAnsi="Calibri" w:cs="Calibri"/>
                <w:color w:val="000000"/>
                <w:sz w:val="18"/>
                <w:szCs w:val="18"/>
              </w:rPr>
              <w:t>25.473</w:t>
            </w:r>
          </w:p>
        </w:tc>
      </w:tr>
      <w:tr w:rsidR="00724DE2" w:rsidRPr="00724DE2" w14:paraId="5FB364B2" w14:textId="77777777" w:rsidTr="00C27E46">
        <w:trPr>
          <w:trHeight w:val="258"/>
        </w:trPr>
        <w:tc>
          <w:tcPr>
            <w:tcW w:w="1701" w:type="dxa"/>
            <w:shd w:val="clear" w:color="auto" w:fill="auto"/>
            <w:noWrap/>
            <w:vAlign w:val="center"/>
            <w:hideMark/>
          </w:tcPr>
          <w:p w14:paraId="42135713" w14:textId="77777777" w:rsidR="00724DE2" w:rsidRPr="00724DE2" w:rsidRDefault="00724DE2" w:rsidP="00724DE2">
            <w:pPr>
              <w:spacing w:line="240" w:lineRule="auto"/>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Gmünd</w:t>
            </w:r>
          </w:p>
        </w:tc>
        <w:tc>
          <w:tcPr>
            <w:tcW w:w="961" w:type="dxa"/>
            <w:shd w:val="clear" w:color="auto" w:fill="auto"/>
            <w:noWrap/>
            <w:vAlign w:val="center"/>
            <w:hideMark/>
          </w:tcPr>
          <w:p w14:paraId="7B004AAB"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35.733</w:t>
            </w:r>
          </w:p>
        </w:tc>
        <w:tc>
          <w:tcPr>
            <w:tcW w:w="960" w:type="dxa"/>
            <w:shd w:val="clear" w:color="auto" w:fill="auto"/>
            <w:noWrap/>
            <w:vAlign w:val="center"/>
            <w:hideMark/>
          </w:tcPr>
          <w:p w14:paraId="6E4F37DE"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236</w:t>
            </w:r>
          </w:p>
        </w:tc>
        <w:tc>
          <w:tcPr>
            <w:tcW w:w="933" w:type="dxa"/>
            <w:shd w:val="clear" w:color="auto" w:fill="auto"/>
            <w:noWrap/>
            <w:vAlign w:val="center"/>
            <w:hideMark/>
          </w:tcPr>
          <w:p w14:paraId="701F2493"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527</w:t>
            </w:r>
          </w:p>
        </w:tc>
        <w:tc>
          <w:tcPr>
            <w:tcW w:w="960" w:type="dxa"/>
            <w:shd w:val="clear" w:color="auto" w:fill="FFFF00"/>
            <w:noWrap/>
            <w:vAlign w:val="center"/>
            <w:hideMark/>
          </w:tcPr>
          <w:p w14:paraId="75CB0F04" w14:textId="77777777" w:rsidR="00724DE2" w:rsidRPr="00C27E46" w:rsidRDefault="00724DE2" w:rsidP="00724DE2">
            <w:pPr>
              <w:spacing w:line="240" w:lineRule="auto"/>
              <w:jc w:val="right"/>
              <w:rPr>
                <w:rFonts w:ascii="Calibri" w:eastAsia="Times New Roman" w:hAnsi="Calibri" w:cs="Calibri"/>
                <w:color w:val="000000"/>
                <w:sz w:val="18"/>
                <w:szCs w:val="18"/>
                <w:highlight w:val="yellow"/>
                <w:lang w:val="de-AT" w:eastAsia="de-AT"/>
              </w:rPr>
            </w:pPr>
            <w:r w:rsidRPr="00C27E46">
              <w:rPr>
                <w:rFonts w:ascii="Calibri" w:eastAsia="Times New Roman" w:hAnsi="Calibri" w:cs="Calibri"/>
                <w:color w:val="000000"/>
                <w:sz w:val="18"/>
                <w:szCs w:val="18"/>
                <w:highlight w:val="yellow"/>
                <w:lang w:val="de-AT" w:eastAsia="de-AT"/>
              </w:rPr>
              <w:t>-291</w:t>
            </w:r>
          </w:p>
        </w:tc>
        <w:tc>
          <w:tcPr>
            <w:tcW w:w="961" w:type="dxa"/>
            <w:shd w:val="clear" w:color="auto" w:fill="auto"/>
            <w:noWrap/>
            <w:vAlign w:val="center"/>
            <w:hideMark/>
          </w:tcPr>
          <w:p w14:paraId="0A0BF0C9"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-8,2</w:t>
            </w:r>
          </w:p>
        </w:tc>
        <w:tc>
          <w:tcPr>
            <w:tcW w:w="960" w:type="dxa"/>
            <w:shd w:val="clear" w:color="auto" w:fill="auto"/>
            <w:noWrap/>
            <w:vAlign w:val="center"/>
            <w:hideMark/>
          </w:tcPr>
          <w:p w14:paraId="07210AE4"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962</w:t>
            </w:r>
          </w:p>
        </w:tc>
        <w:tc>
          <w:tcPr>
            <w:tcW w:w="960" w:type="dxa"/>
            <w:shd w:val="clear" w:color="auto" w:fill="auto"/>
            <w:noWrap/>
            <w:vAlign w:val="center"/>
            <w:hideMark/>
          </w:tcPr>
          <w:p w14:paraId="19AB8554"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884</w:t>
            </w:r>
          </w:p>
        </w:tc>
        <w:tc>
          <w:tcPr>
            <w:tcW w:w="960" w:type="dxa"/>
            <w:shd w:val="clear" w:color="000000" w:fill="FFFF00"/>
            <w:noWrap/>
            <w:vAlign w:val="center"/>
            <w:hideMark/>
          </w:tcPr>
          <w:p w14:paraId="64269957"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78</w:t>
            </w:r>
          </w:p>
        </w:tc>
        <w:tc>
          <w:tcPr>
            <w:tcW w:w="960" w:type="dxa"/>
            <w:shd w:val="clear" w:color="auto" w:fill="auto"/>
            <w:noWrap/>
            <w:vAlign w:val="center"/>
            <w:hideMark/>
          </w:tcPr>
          <w:p w14:paraId="37D596CB"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2,2</w:t>
            </w:r>
          </w:p>
        </w:tc>
        <w:tc>
          <w:tcPr>
            <w:tcW w:w="1008" w:type="dxa"/>
            <w:vAlign w:val="center"/>
          </w:tcPr>
          <w:p w14:paraId="4D6F4F11" w14:textId="3ABB47A5"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1.238</w:t>
            </w:r>
          </w:p>
        </w:tc>
        <w:tc>
          <w:tcPr>
            <w:tcW w:w="961" w:type="dxa"/>
            <w:vAlign w:val="center"/>
          </w:tcPr>
          <w:p w14:paraId="7E96DB85" w14:textId="12743078"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Pr>
                <w:rFonts w:ascii="Calibri" w:hAnsi="Calibri" w:cs="Calibri"/>
                <w:color w:val="000000"/>
                <w:sz w:val="18"/>
                <w:szCs w:val="18"/>
              </w:rPr>
              <w:t>35.516</w:t>
            </w:r>
          </w:p>
        </w:tc>
      </w:tr>
      <w:tr w:rsidR="00724DE2" w:rsidRPr="00724DE2" w14:paraId="688FA491" w14:textId="77777777" w:rsidTr="00C27E46">
        <w:trPr>
          <w:trHeight w:val="258"/>
        </w:trPr>
        <w:tc>
          <w:tcPr>
            <w:tcW w:w="1701" w:type="dxa"/>
            <w:shd w:val="clear" w:color="auto" w:fill="auto"/>
            <w:noWrap/>
            <w:vAlign w:val="center"/>
            <w:hideMark/>
          </w:tcPr>
          <w:p w14:paraId="002AEDB0" w14:textId="77777777" w:rsidR="00724DE2" w:rsidRPr="00724DE2" w:rsidRDefault="00724DE2" w:rsidP="00724DE2">
            <w:pPr>
              <w:spacing w:line="240" w:lineRule="auto"/>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Horn</w:t>
            </w:r>
          </w:p>
        </w:tc>
        <w:tc>
          <w:tcPr>
            <w:tcW w:w="961" w:type="dxa"/>
            <w:shd w:val="clear" w:color="auto" w:fill="auto"/>
            <w:noWrap/>
            <w:vAlign w:val="center"/>
            <w:hideMark/>
          </w:tcPr>
          <w:p w14:paraId="09ED376E"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30.972</w:t>
            </w:r>
          </w:p>
        </w:tc>
        <w:tc>
          <w:tcPr>
            <w:tcW w:w="960" w:type="dxa"/>
            <w:shd w:val="clear" w:color="auto" w:fill="auto"/>
            <w:noWrap/>
            <w:vAlign w:val="center"/>
            <w:hideMark/>
          </w:tcPr>
          <w:p w14:paraId="4CD982C9"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218</w:t>
            </w:r>
          </w:p>
        </w:tc>
        <w:tc>
          <w:tcPr>
            <w:tcW w:w="933" w:type="dxa"/>
            <w:shd w:val="clear" w:color="auto" w:fill="auto"/>
            <w:noWrap/>
            <w:vAlign w:val="center"/>
            <w:hideMark/>
          </w:tcPr>
          <w:p w14:paraId="4F7B2C0A"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489</w:t>
            </w:r>
          </w:p>
        </w:tc>
        <w:tc>
          <w:tcPr>
            <w:tcW w:w="960" w:type="dxa"/>
            <w:shd w:val="clear" w:color="auto" w:fill="FFFF00"/>
            <w:noWrap/>
            <w:vAlign w:val="center"/>
            <w:hideMark/>
          </w:tcPr>
          <w:p w14:paraId="43555F5D" w14:textId="77777777" w:rsidR="00724DE2" w:rsidRPr="00C27E46" w:rsidRDefault="00724DE2" w:rsidP="00724DE2">
            <w:pPr>
              <w:spacing w:line="240" w:lineRule="auto"/>
              <w:jc w:val="right"/>
              <w:rPr>
                <w:rFonts w:ascii="Calibri" w:eastAsia="Times New Roman" w:hAnsi="Calibri" w:cs="Calibri"/>
                <w:color w:val="000000"/>
                <w:sz w:val="18"/>
                <w:szCs w:val="18"/>
                <w:highlight w:val="yellow"/>
                <w:lang w:val="de-AT" w:eastAsia="de-AT"/>
              </w:rPr>
            </w:pPr>
            <w:r w:rsidRPr="00C27E46">
              <w:rPr>
                <w:rFonts w:ascii="Calibri" w:eastAsia="Times New Roman" w:hAnsi="Calibri" w:cs="Calibri"/>
                <w:color w:val="000000"/>
                <w:sz w:val="18"/>
                <w:szCs w:val="18"/>
                <w:highlight w:val="yellow"/>
                <w:lang w:val="de-AT" w:eastAsia="de-AT"/>
              </w:rPr>
              <w:t>-271</w:t>
            </w:r>
          </w:p>
        </w:tc>
        <w:tc>
          <w:tcPr>
            <w:tcW w:w="961" w:type="dxa"/>
            <w:shd w:val="clear" w:color="auto" w:fill="auto"/>
            <w:noWrap/>
            <w:vAlign w:val="center"/>
            <w:hideMark/>
          </w:tcPr>
          <w:p w14:paraId="3D38438F"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-8,8</w:t>
            </w:r>
          </w:p>
        </w:tc>
        <w:tc>
          <w:tcPr>
            <w:tcW w:w="960" w:type="dxa"/>
            <w:shd w:val="clear" w:color="auto" w:fill="auto"/>
            <w:noWrap/>
            <w:vAlign w:val="center"/>
            <w:hideMark/>
          </w:tcPr>
          <w:p w14:paraId="32849772"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1.019</w:t>
            </w:r>
          </w:p>
        </w:tc>
        <w:tc>
          <w:tcPr>
            <w:tcW w:w="960" w:type="dxa"/>
            <w:shd w:val="clear" w:color="auto" w:fill="auto"/>
            <w:noWrap/>
            <w:vAlign w:val="center"/>
            <w:hideMark/>
          </w:tcPr>
          <w:p w14:paraId="23B2C9BB"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873</w:t>
            </w:r>
          </w:p>
        </w:tc>
        <w:tc>
          <w:tcPr>
            <w:tcW w:w="960" w:type="dxa"/>
            <w:shd w:val="clear" w:color="000000" w:fill="FFFF00"/>
            <w:noWrap/>
            <w:vAlign w:val="center"/>
            <w:hideMark/>
          </w:tcPr>
          <w:p w14:paraId="1CF1D231"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146</w:t>
            </w:r>
          </w:p>
        </w:tc>
        <w:tc>
          <w:tcPr>
            <w:tcW w:w="960" w:type="dxa"/>
            <w:shd w:val="clear" w:color="auto" w:fill="auto"/>
            <w:noWrap/>
            <w:vAlign w:val="center"/>
            <w:hideMark/>
          </w:tcPr>
          <w:p w14:paraId="041971AE"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4,7</w:t>
            </w:r>
          </w:p>
        </w:tc>
        <w:tc>
          <w:tcPr>
            <w:tcW w:w="1008" w:type="dxa"/>
            <w:vAlign w:val="center"/>
          </w:tcPr>
          <w:p w14:paraId="236A8129" w14:textId="3DB84A1A"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1.247</w:t>
            </w:r>
          </w:p>
        </w:tc>
        <w:tc>
          <w:tcPr>
            <w:tcW w:w="961" w:type="dxa"/>
            <w:vAlign w:val="center"/>
          </w:tcPr>
          <w:p w14:paraId="00F6DB61" w14:textId="0E7438A0"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Pr>
                <w:rFonts w:ascii="Calibri" w:hAnsi="Calibri" w:cs="Calibri"/>
                <w:color w:val="000000"/>
                <w:sz w:val="18"/>
                <w:szCs w:val="18"/>
              </w:rPr>
              <w:t>30.847</w:t>
            </w:r>
          </w:p>
        </w:tc>
      </w:tr>
      <w:tr w:rsidR="00724DE2" w:rsidRPr="00724DE2" w14:paraId="773E4C66" w14:textId="77777777" w:rsidTr="00C27E46">
        <w:trPr>
          <w:trHeight w:val="258"/>
        </w:trPr>
        <w:tc>
          <w:tcPr>
            <w:tcW w:w="1701" w:type="dxa"/>
            <w:shd w:val="clear" w:color="auto" w:fill="auto"/>
            <w:noWrap/>
            <w:vAlign w:val="center"/>
            <w:hideMark/>
          </w:tcPr>
          <w:p w14:paraId="69A938FF" w14:textId="77777777" w:rsidR="00724DE2" w:rsidRPr="00724DE2" w:rsidRDefault="00724DE2" w:rsidP="00724DE2">
            <w:pPr>
              <w:spacing w:line="240" w:lineRule="auto"/>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Krems (Land)</w:t>
            </w:r>
          </w:p>
        </w:tc>
        <w:tc>
          <w:tcPr>
            <w:tcW w:w="961" w:type="dxa"/>
            <w:shd w:val="clear" w:color="auto" w:fill="auto"/>
            <w:noWrap/>
            <w:vAlign w:val="center"/>
            <w:hideMark/>
          </w:tcPr>
          <w:p w14:paraId="1BFC852D"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56.625</w:t>
            </w:r>
          </w:p>
        </w:tc>
        <w:tc>
          <w:tcPr>
            <w:tcW w:w="960" w:type="dxa"/>
            <w:shd w:val="clear" w:color="auto" w:fill="auto"/>
            <w:noWrap/>
            <w:vAlign w:val="center"/>
            <w:hideMark/>
          </w:tcPr>
          <w:p w14:paraId="577493A4"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405</w:t>
            </w:r>
          </w:p>
        </w:tc>
        <w:tc>
          <w:tcPr>
            <w:tcW w:w="933" w:type="dxa"/>
            <w:shd w:val="clear" w:color="auto" w:fill="auto"/>
            <w:noWrap/>
            <w:vAlign w:val="center"/>
            <w:hideMark/>
          </w:tcPr>
          <w:p w14:paraId="2E50E6B3"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564</w:t>
            </w:r>
          </w:p>
        </w:tc>
        <w:tc>
          <w:tcPr>
            <w:tcW w:w="960" w:type="dxa"/>
            <w:shd w:val="clear" w:color="auto" w:fill="FFFF00"/>
            <w:noWrap/>
            <w:vAlign w:val="center"/>
            <w:hideMark/>
          </w:tcPr>
          <w:p w14:paraId="70AF3EFC" w14:textId="77777777" w:rsidR="00724DE2" w:rsidRPr="00C27E46" w:rsidRDefault="00724DE2" w:rsidP="00724DE2">
            <w:pPr>
              <w:spacing w:line="240" w:lineRule="auto"/>
              <w:jc w:val="right"/>
              <w:rPr>
                <w:rFonts w:ascii="Calibri" w:eastAsia="Times New Roman" w:hAnsi="Calibri" w:cs="Calibri"/>
                <w:color w:val="000000"/>
                <w:sz w:val="18"/>
                <w:szCs w:val="18"/>
                <w:highlight w:val="yellow"/>
                <w:lang w:val="de-AT" w:eastAsia="de-AT"/>
              </w:rPr>
            </w:pPr>
            <w:r w:rsidRPr="00C27E46">
              <w:rPr>
                <w:rFonts w:ascii="Calibri" w:eastAsia="Times New Roman" w:hAnsi="Calibri" w:cs="Calibri"/>
                <w:color w:val="000000"/>
                <w:sz w:val="18"/>
                <w:szCs w:val="18"/>
                <w:highlight w:val="yellow"/>
                <w:lang w:val="de-AT" w:eastAsia="de-AT"/>
              </w:rPr>
              <w:t>-159</w:t>
            </w:r>
          </w:p>
        </w:tc>
        <w:tc>
          <w:tcPr>
            <w:tcW w:w="961" w:type="dxa"/>
            <w:shd w:val="clear" w:color="auto" w:fill="auto"/>
            <w:noWrap/>
            <w:vAlign w:val="center"/>
            <w:hideMark/>
          </w:tcPr>
          <w:p w14:paraId="0E104136"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-2,8</w:t>
            </w:r>
          </w:p>
        </w:tc>
        <w:tc>
          <w:tcPr>
            <w:tcW w:w="960" w:type="dxa"/>
            <w:shd w:val="clear" w:color="auto" w:fill="auto"/>
            <w:noWrap/>
            <w:vAlign w:val="center"/>
            <w:hideMark/>
          </w:tcPr>
          <w:p w14:paraId="20A26B3E"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1.737</w:t>
            </w:r>
          </w:p>
        </w:tc>
        <w:tc>
          <w:tcPr>
            <w:tcW w:w="960" w:type="dxa"/>
            <w:shd w:val="clear" w:color="auto" w:fill="auto"/>
            <w:noWrap/>
            <w:vAlign w:val="center"/>
            <w:hideMark/>
          </w:tcPr>
          <w:p w14:paraId="11F8ECF6"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1.783</w:t>
            </w:r>
          </w:p>
        </w:tc>
        <w:tc>
          <w:tcPr>
            <w:tcW w:w="960" w:type="dxa"/>
            <w:shd w:val="clear" w:color="000000" w:fill="FFFF00"/>
            <w:noWrap/>
            <w:vAlign w:val="center"/>
            <w:hideMark/>
          </w:tcPr>
          <w:p w14:paraId="15A75F21"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-46</w:t>
            </w:r>
          </w:p>
        </w:tc>
        <w:tc>
          <w:tcPr>
            <w:tcW w:w="960" w:type="dxa"/>
            <w:shd w:val="clear" w:color="auto" w:fill="auto"/>
            <w:noWrap/>
            <w:vAlign w:val="center"/>
            <w:hideMark/>
          </w:tcPr>
          <w:p w14:paraId="50F92C96"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-0,8</w:t>
            </w:r>
          </w:p>
        </w:tc>
        <w:tc>
          <w:tcPr>
            <w:tcW w:w="1008" w:type="dxa"/>
            <w:vAlign w:val="center"/>
          </w:tcPr>
          <w:p w14:paraId="70BF570E" w14:textId="61FF9405"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1.451</w:t>
            </w:r>
          </w:p>
        </w:tc>
        <w:tc>
          <w:tcPr>
            <w:tcW w:w="961" w:type="dxa"/>
            <w:vAlign w:val="center"/>
          </w:tcPr>
          <w:p w14:paraId="62961E42" w14:textId="1BACFB1D"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Pr>
                <w:rFonts w:ascii="Calibri" w:hAnsi="Calibri" w:cs="Calibri"/>
                <w:color w:val="000000"/>
                <w:sz w:val="18"/>
                <w:szCs w:val="18"/>
              </w:rPr>
              <w:t>56.423</w:t>
            </w:r>
          </w:p>
        </w:tc>
      </w:tr>
      <w:tr w:rsidR="00724DE2" w:rsidRPr="00724DE2" w14:paraId="3041A01C" w14:textId="77777777" w:rsidTr="00C27E46">
        <w:trPr>
          <w:trHeight w:val="258"/>
        </w:trPr>
        <w:tc>
          <w:tcPr>
            <w:tcW w:w="1701" w:type="dxa"/>
            <w:shd w:val="clear" w:color="auto" w:fill="auto"/>
            <w:noWrap/>
            <w:vAlign w:val="center"/>
            <w:hideMark/>
          </w:tcPr>
          <w:p w14:paraId="2C05D48D" w14:textId="540F9EEA" w:rsidR="00724DE2" w:rsidRPr="00724DE2" w:rsidRDefault="00724DE2" w:rsidP="00724DE2">
            <w:pPr>
              <w:spacing w:line="240" w:lineRule="auto"/>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Waidhofen</w:t>
            </w:r>
            <w:r>
              <w:rPr>
                <w:rFonts w:ascii="Calibri" w:eastAsia="Times New Roman" w:hAnsi="Calibri" w:cs="Calibri"/>
                <w:color w:val="000000"/>
                <w:sz w:val="18"/>
                <w:szCs w:val="18"/>
                <w:lang w:val="de-AT" w:eastAsia="de-AT"/>
              </w:rPr>
              <w:t>/</w:t>
            </w:r>
            <w:r w:rsidRPr="00724DE2">
              <w:rPr>
                <w:rFonts w:ascii="Calibri" w:eastAsia="Times New Roman" w:hAnsi="Calibri" w:cs="Calibri"/>
                <w:color w:val="000000"/>
                <w:sz w:val="18"/>
                <w:szCs w:val="18"/>
                <w:lang w:val="de-AT" w:eastAsia="de-AT"/>
              </w:rPr>
              <w:t>Thaya</w:t>
            </w:r>
          </w:p>
        </w:tc>
        <w:tc>
          <w:tcPr>
            <w:tcW w:w="961" w:type="dxa"/>
            <w:shd w:val="clear" w:color="auto" w:fill="auto"/>
            <w:noWrap/>
            <w:vAlign w:val="center"/>
            <w:hideMark/>
          </w:tcPr>
          <w:p w14:paraId="76B7E37C"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25.490</w:t>
            </w:r>
          </w:p>
        </w:tc>
        <w:tc>
          <w:tcPr>
            <w:tcW w:w="960" w:type="dxa"/>
            <w:shd w:val="clear" w:color="auto" w:fill="auto"/>
            <w:noWrap/>
            <w:vAlign w:val="center"/>
            <w:hideMark/>
          </w:tcPr>
          <w:p w14:paraId="238C2C0A"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188</w:t>
            </w:r>
          </w:p>
        </w:tc>
        <w:tc>
          <w:tcPr>
            <w:tcW w:w="933" w:type="dxa"/>
            <w:shd w:val="clear" w:color="auto" w:fill="auto"/>
            <w:noWrap/>
            <w:vAlign w:val="center"/>
            <w:hideMark/>
          </w:tcPr>
          <w:p w14:paraId="538236E6"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323</w:t>
            </w:r>
          </w:p>
        </w:tc>
        <w:tc>
          <w:tcPr>
            <w:tcW w:w="960" w:type="dxa"/>
            <w:shd w:val="clear" w:color="auto" w:fill="FFFF00"/>
            <w:noWrap/>
            <w:vAlign w:val="center"/>
            <w:hideMark/>
          </w:tcPr>
          <w:p w14:paraId="45810965" w14:textId="77777777" w:rsidR="00724DE2" w:rsidRPr="00C27E46" w:rsidRDefault="00724DE2" w:rsidP="00724DE2">
            <w:pPr>
              <w:spacing w:line="240" w:lineRule="auto"/>
              <w:jc w:val="right"/>
              <w:rPr>
                <w:rFonts w:ascii="Calibri" w:eastAsia="Times New Roman" w:hAnsi="Calibri" w:cs="Calibri"/>
                <w:color w:val="000000"/>
                <w:sz w:val="18"/>
                <w:szCs w:val="18"/>
                <w:highlight w:val="yellow"/>
                <w:lang w:val="de-AT" w:eastAsia="de-AT"/>
              </w:rPr>
            </w:pPr>
            <w:r w:rsidRPr="00C27E46">
              <w:rPr>
                <w:rFonts w:ascii="Calibri" w:eastAsia="Times New Roman" w:hAnsi="Calibri" w:cs="Calibri"/>
                <w:color w:val="000000"/>
                <w:sz w:val="18"/>
                <w:szCs w:val="18"/>
                <w:highlight w:val="yellow"/>
                <w:lang w:val="de-AT" w:eastAsia="de-AT"/>
              </w:rPr>
              <w:t>-135</w:t>
            </w:r>
          </w:p>
        </w:tc>
        <w:tc>
          <w:tcPr>
            <w:tcW w:w="961" w:type="dxa"/>
            <w:shd w:val="clear" w:color="auto" w:fill="auto"/>
            <w:noWrap/>
            <w:vAlign w:val="center"/>
            <w:hideMark/>
          </w:tcPr>
          <w:p w14:paraId="02523A7E"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-5,3</w:t>
            </w:r>
          </w:p>
        </w:tc>
        <w:tc>
          <w:tcPr>
            <w:tcW w:w="960" w:type="dxa"/>
            <w:shd w:val="clear" w:color="auto" w:fill="auto"/>
            <w:noWrap/>
            <w:vAlign w:val="center"/>
            <w:hideMark/>
          </w:tcPr>
          <w:p w14:paraId="279A9C3D"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751</w:t>
            </w:r>
          </w:p>
        </w:tc>
        <w:tc>
          <w:tcPr>
            <w:tcW w:w="960" w:type="dxa"/>
            <w:shd w:val="clear" w:color="auto" w:fill="auto"/>
            <w:noWrap/>
            <w:vAlign w:val="center"/>
            <w:hideMark/>
          </w:tcPr>
          <w:p w14:paraId="716886EF"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758</w:t>
            </w:r>
          </w:p>
        </w:tc>
        <w:tc>
          <w:tcPr>
            <w:tcW w:w="960" w:type="dxa"/>
            <w:shd w:val="clear" w:color="000000" w:fill="FFFF00"/>
            <w:noWrap/>
            <w:vAlign w:val="center"/>
            <w:hideMark/>
          </w:tcPr>
          <w:p w14:paraId="520D6733"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-7</w:t>
            </w:r>
          </w:p>
        </w:tc>
        <w:tc>
          <w:tcPr>
            <w:tcW w:w="960" w:type="dxa"/>
            <w:shd w:val="clear" w:color="auto" w:fill="auto"/>
            <w:noWrap/>
            <w:vAlign w:val="center"/>
            <w:hideMark/>
          </w:tcPr>
          <w:p w14:paraId="673CEA6A"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-0,3</w:t>
            </w:r>
          </w:p>
        </w:tc>
        <w:tc>
          <w:tcPr>
            <w:tcW w:w="1008" w:type="dxa"/>
            <w:vAlign w:val="center"/>
          </w:tcPr>
          <w:p w14:paraId="5C1CF688" w14:textId="24DE7616"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862</w:t>
            </w:r>
          </w:p>
        </w:tc>
        <w:tc>
          <w:tcPr>
            <w:tcW w:w="961" w:type="dxa"/>
            <w:vAlign w:val="center"/>
          </w:tcPr>
          <w:p w14:paraId="75083673" w14:textId="562A48B9"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Pr>
                <w:rFonts w:ascii="Calibri" w:hAnsi="Calibri" w:cs="Calibri"/>
                <w:color w:val="000000"/>
                <w:sz w:val="18"/>
                <w:szCs w:val="18"/>
              </w:rPr>
              <w:t>25.350</w:t>
            </w:r>
          </w:p>
        </w:tc>
      </w:tr>
      <w:tr w:rsidR="00724DE2" w:rsidRPr="00724DE2" w14:paraId="2AC52ECD" w14:textId="77777777" w:rsidTr="00C27E46">
        <w:trPr>
          <w:trHeight w:val="258"/>
        </w:trPr>
        <w:tc>
          <w:tcPr>
            <w:tcW w:w="1701" w:type="dxa"/>
            <w:shd w:val="clear" w:color="auto" w:fill="auto"/>
            <w:noWrap/>
            <w:vAlign w:val="center"/>
            <w:hideMark/>
          </w:tcPr>
          <w:p w14:paraId="60A8323A" w14:textId="77777777" w:rsidR="00724DE2" w:rsidRPr="00724DE2" w:rsidRDefault="00724DE2" w:rsidP="00724DE2">
            <w:pPr>
              <w:spacing w:line="240" w:lineRule="auto"/>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Zwettl</w:t>
            </w:r>
          </w:p>
        </w:tc>
        <w:tc>
          <w:tcPr>
            <w:tcW w:w="961" w:type="dxa"/>
            <w:shd w:val="clear" w:color="auto" w:fill="auto"/>
            <w:noWrap/>
            <w:vAlign w:val="center"/>
            <w:hideMark/>
          </w:tcPr>
          <w:p w14:paraId="2F9BD607"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41.655</w:t>
            </w:r>
          </w:p>
        </w:tc>
        <w:tc>
          <w:tcPr>
            <w:tcW w:w="960" w:type="dxa"/>
            <w:shd w:val="clear" w:color="auto" w:fill="auto"/>
            <w:noWrap/>
            <w:vAlign w:val="center"/>
            <w:hideMark/>
          </w:tcPr>
          <w:p w14:paraId="235B45C7"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332</w:t>
            </w:r>
          </w:p>
        </w:tc>
        <w:tc>
          <w:tcPr>
            <w:tcW w:w="933" w:type="dxa"/>
            <w:shd w:val="clear" w:color="auto" w:fill="auto"/>
            <w:noWrap/>
            <w:vAlign w:val="center"/>
            <w:hideMark/>
          </w:tcPr>
          <w:p w14:paraId="7F909903"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466</w:t>
            </w:r>
          </w:p>
        </w:tc>
        <w:tc>
          <w:tcPr>
            <w:tcW w:w="960" w:type="dxa"/>
            <w:shd w:val="clear" w:color="auto" w:fill="FFFF00"/>
            <w:noWrap/>
            <w:vAlign w:val="center"/>
            <w:hideMark/>
          </w:tcPr>
          <w:p w14:paraId="694B115B" w14:textId="77777777" w:rsidR="00724DE2" w:rsidRPr="00C27E46" w:rsidRDefault="00724DE2" w:rsidP="00724DE2">
            <w:pPr>
              <w:spacing w:line="240" w:lineRule="auto"/>
              <w:jc w:val="right"/>
              <w:rPr>
                <w:rFonts w:ascii="Calibri" w:eastAsia="Times New Roman" w:hAnsi="Calibri" w:cs="Calibri"/>
                <w:color w:val="000000"/>
                <w:sz w:val="18"/>
                <w:szCs w:val="18"/>
                <w:highlight w:val="yellow"/>
                <w:lang w:val="de-AT" w:eastAsia="de-AT"/>
              </w:rPr>
            </w:pPr>
            <w:r w:rsidRPr="00C27E46">
              <w:rPr>
                <w:rFonts w:ascii="Calibri" w:eastAsia="Times New Roman" w:hAnsi="Calibri" w:cs="Calibri"/>
                <w:color w:val="000000"/>
                <w:sz w:val="18"/>
                <w:szCs w:val="18"/>
                <w:highlight w:val="yellow"/>
                <w:lang w:val="de-AT" w:eastAsia="de-AT"/>
              </w:rPr>
              <w:t>-134</w:t>
            </w:r>
          </w:p>
        </w:tc>
        <w:tc>
          <w:tcPr>
            <w:tcW w:w="961" w:type="dxa"/>
            <w:shd w:val="clear" w:color="auto" w:fill="auto"/>
            <w:noWrap/>
            <w:vAlign w:val="center"/>
            <w:hideMark/>
          </w:tcPr>
          <w:p w14:paraId="7FE5C744"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-3,2</w:t>
            </w:r>
          </w:p>
        </w:tc>
        <w:tc>
          <w:tcPr>
            <w:tcW w:w="960" w:type="dxa"/>
            <w:shd w:val="clear" w:color="auto" w:fill="auto"/>
            <w:noWrap/>
            <w:vAlign w:val="center"/>
            <w:hideMark/>
          </w:tcPr>
          <w:p w14:paraId="2D1A7B88"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974</w:t>
            </w:r>
          </w:p>
        </w:tc>
        <w:tc>
          <w:tcPr>
            <w:tcW w:w="960" w:type="dxa"/>
            <w:shd w:val="clear" w:color="auto" w:fill="auto"/>
            <w:noWrap/>
            <w:vAlign w:val="center"/>
            <w:hideMark/>
          </w:tcPr>
          <w:p w14:paraId="6C01E5BF"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970</w:t>
            </w:r>
          </w:p>
        </w:tc>
        <w:tc>
          <w:tcPr>
            <w:tcW w:w="960" w:type="dxa"/>
            <w:shd w:val="clear" w:color="000000" w:fill="FFFF00"/>
            <w:noWrap/>
            <w:vAlign w:val="center"/>
            <w:hideMark/>
          </w:tcPr>
          <w:p w14:paraId="1FD7CC52"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4</w:t>
            </w:r>
          </w:p>
        </w:tc>
        <w:tc>
          <w:tcPr>
            <w:tcW w:w="960" w:type="dxa"/>
            <w:shd w:val="clear" w:color="auto" w:fill="auto"/>
            <w:noWrap/>
            <w:vAlign w:val="center"/>
            <w:hideMark/>
          </w:tcPr>
          <w:p w14:paraId="34C62A0D" w14:textId="77777777"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0,1</w:t>
            </w:r>
          </w:p>
        </w:tc>
        <w:tc>
          <w:tcPr>
            <w:tcW w:w="1008" w:type="dxa"/>
            <w:vAlign w:val="center"/>
          </w:tcPr>
          <w:p w14:paraId="2323591D" w14:textId="0564DD8C"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sidRPr="00724DE2">
              <w:rPr>
                <w:rFonts w:ascii="Calibri" w:eastAsia="Times New Roman" w:hAnsi="Calibri" w:cs="Calibri"/>
                <w:color w:val="000000"/>
                <w:sz w:val="18"/>
                <w:szCs w:val="18"/>
                <w:lang w:val="de-AT" w:eastAsia="de-AT"/>
              </w:rPr>
              <w:t>1.017</w:t>
            </w:r>
          </w:p>
        </w:tc>
        <w:tc>
          <w:tcPr>
            <w:tcW w:w="961" w:type="dxa"/>
            <w:vAlign w:val="center"/>
          </w:tcPr>
          <w:p w14:paraId="2DB95585" w14:textId="2F34BC19" w:rsidR="00724DE2" w:rsidRPr="00724DE2" w:rsidRDefault="00724DE2" w:rsidP="00724DE2">
            <w:pPr>
              <w:spacing w:line="240" w:lineRule="auto"/>
              <w:jc w:val="right"/>
              <w:rPr>
                <w:rFonts w:ascii="Calibri" w:eastAsia="Times New Roman" w:hAnsi="Calibri" w:cs="Calibri"/>
                <w:color w:val="000000"/>
                <w:sz w:val="18"/>
                <w:szCs w:val="18"/>
                <w:lang w:val="de-AT" w:eastAsia="de-AT"/>
              </w:rPr>
            </w:pPr>
            <w:r>
              <w:rPr>
                <w:rFonts w:ascii="Calibri" w:hAnsi="Calibri" w:cs="Calibri"/>
                <w:color w:val="000000"/>
                <w:sz w:val="18"/>
                <w:szCs w:val="18"/>
              </w:rPr>
              <w:t>41.528</w:t>
            </w:r>
          </w:p>
        </w:tc>
      </w:tr>
    </w:tbl>
    <w:p w14:paraId="43697E8F" w14:textId="77777777" w:rsidR="00724DE2" w:rsidRDefault="00724DE2" w:rsidP="00894C91"/>
    <w:p w14:paraId="48DED34E" w14:textId="30E52E91" w:rsidR="006D01A1" w:rsidRPr="00306831" w:rsidRDefault="006D01A1" w:rsidP="00894C91">
      <w:r w:rsidRPr="006D01A1">
        <w:t>Q</w:t>
      </w:r>
      <w:r>
        <w:t>uelle</w:t>
      </w:r>
      <w:r w:rsidRPr="006D01A1">
        <w:t>: STATISTIK AUSTRIA, Statistik des Bevölkerungsstandes, Statistik der natürlichen Bevölkerungsbewegung, Wanderungsstatistik. Erstellt am 2</w:t>
      </w:r>
      <w:r w:rsidR="005E21E8">
        <w:t>6</w:t>
      </w:r>
      <w:r w:rsidRPr="006D01A1">
        <w:t>.05.202</w:t>
      </w:r>
      <w:r w:rsidR="005E21E8">
        <w:t>5</w:t>
      </w:r>
      <w:r w:rsidRPr="006D01A1">
        <w:t>.</w:t>
      </w:r>
    </w:p>
    <w:sectPr w:rsidR="006D01A1" w:rsidRPr="00306831" w:rsidSect="006D01A1">
      <w:pgSz w:w="16838" w:h="11906" w:orient="landscape"/>
      <w:pgMar w:top="1418" w:right="2642" w:bottom="1701"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33383" w14:textId="77777777" w:rsidR="005D659A" w:rsidRDefault="005D659A">
      <w:r>
        <w:separator/>
      </w:r>
    </w:p>
  </w:endnote>
  <w:endnote w:type="continuationSeparator" w:id="0">
    <w:p w14:paraId="1A0047E5" w14:textId="77777777" w:rsidR="005D659A" w:rsidRDefault="005D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36140612"/>
      <w:docPartObj>
        <w:docPartGallery w:val="Page Numbers (Bottom of Page)"/>
        <w:docPartUnique/>
      </w:docPartObj>
    </w:sdtPr>
    <w:sdtEndPr/>
    <w:sdtContent>
      <w:sdt>
        <w:sdtPr>
          <w:rPr>
            <w:sz w:val="14"/>
            <w:szCs w:val="14"/>
          </w:rPr>
          <w:id w:val="1021177321"/>
          <w:docPartObj>
            <w:docPartGallery w:val="Page Numbers (Top of Page)"/>
            <w:docPartUnique/>
          </w:docPartObj>
        </w:sdtPr>
        <w:sdtEndPr/>
        <w:sdtContent>
          <w:p w14:paraId="047A7708" w14:textId="77777777" w:rsidR="003F4A24" w:rsidRPr="00E70F08" w:rsidRDefault="003F4A24" w:rsidP="00A130DD">
            <w:pPr>
              <w:pStyle w:val="Fuzeile"/>
              <w:jc w:val="right"/>
              <w:rPr>
                <w:sz w:val="14"/>
                <w:szCs w:val="14"/>
              </w:rPr>
            </w:pPr>
            <w:r w:rsidRPr="00E70F08">
              <w:rPr>
                <w:sz w:val="14"/>
                <w:szCs w:val="14"/>
              </w:rPr>
              <w:t xml:space="preserve">Seite </w:t>
            </w:r>
            <w:r w:rsidRPr="00E70F08">
              <w:rPr>
                <w:b/>
                <w:sz w:val="14"/>
                <w:szCs w:val="14"/>
              </w:rPr>
              <w:fldChar w:fldCharType="begin"/>
            </w:r>
            <w:r w:rsidRPr="00E70F08">
              <w:rPr>
                <w:b/>
                <w:sz w:val="14"/>
                <w:szCs w:val="14"/>
              </w:rPr>
              <w:instrText>PAGE</w:instrText>
            </w:r>
            <w:r w:rsidRPr="00E70F08">
              <w:rPr>
                <w:b/>
                <w:sz w:val="14"/>
                <w:szCs w:val="14"/>
              </w:rPr>
              <w:fldChar w:fldCharType="separate"/>
            </w:r>
            <w:r w:rsidR="00080BC9" w:rsidRPr="00E70F08">
              <w:rPr>
                <w:b/>
                <w:noProof/>
                <w:sz w:val="14"/>
                <w:szCs w:val="14"/>
              </w:rPr>
              <w:t>2</w:t>
            </w:r>
            <w:r w:rsidRPr="00E70F08">
              <w:rPr>
                <w:b/>
                <w:sz w:val="14"/>
                <w:szCs w:val="14"/>
              </w:rPr>
              <w:fldChar w:fldCharType="end"/>
            </w:r>
            <w:r w:rsidRPr="00E70F08">
              <w:rPr>
                <w:sz w:val="14"/>
                <w:szCs w:val="14"/>
              </w:rPr>
              <w:t xml:space="preserve"> von </w:t>
            </w:r>
            <w:r w:rsidRPr="00E70F08">
              <w:rPr>
                <w:b/>
                <w:sz w:val="14"/>
                <w:szCs w:val="14"/>
              </w:rPr>
              <w:fldChar w:fldCharType="begin"/>
            </w:r>
            <w:r w:rsidRPr="00E70F08">
              <w:rPr>
                <w:b/>
                <w:sz w:val="14"/>
                <w:szCs w:val="14"/>
              </w:rPr>
              <w:instrText>NUMPAGES</w:instrText>
            </w:r>
            <w:r w:rsidRPr="00E70F08">
              <w:rPr>
                <w:b/>
                <w:sz w:val="14"/>
                <w:szCs w:val="14"/>
              </w:rPr>
              <w:fldChar w:fldCharType="separate"/>
            </w:r>
            <w:r w:rsidR="00080BC9" w:rsidRPr="00E70F08">
              <w:rPr>
                <w:b/>
                <w:noProof/>
                <w:sz w:val="14"/>
                <w:szCs w:val="14"/>
              </w:rPr>
              <w:t>3</w:t>
            </w:r>
            <w:r w:rsidRPr="00E70F08">
              <w:rPr>
                <w:b/>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C4B55" w14:textId="77777777" w:rsidR="005D659A" w:rsidRDefault="005D659A">
      <w:r>
        <w:separator/>
      </w:r>
    </w:p>
  </w:footnote>
  <w:footnote w:type="continuationSeparator" w:id="0">
    <w:p w14:paraId="4D6892B5" w14:textId="77777777" w:rsidR="005D659A" w:rsidRDefault="005D659A">
      <w:r>
        <w:continuationSeparator/>
      </w:r>
    </w:p>
  </w:footnote>
  <w:footnote w:id="1">
    <w:p w14:paraId="6E52D15C" w14:textId="15E564A3" w:rsidR="003D3329" w:rsidRDefault="003D3329" w:rsidP="003D3329">
      <w:pPr>
        <w:pStyle w:val="Funotentext"/>
      </w:pPr>
      <w:r>
        <w:rPr>
          <w:rStyle w:val="Funotenzeichen"/>
        </w:rPr>
        <w:footnoteRef/>
      </w:r>
      <w:r>
        <w:t xml:space="preserve"> </w:t>
      </w:r>
      <w:r w:rsidRPr="005F5BBC">
        <w:rPr>
          <w:sz w:val="16"/>
          <w:szCs w:val="16"/>
        </w:rPr>
        <w:t xml:space="preserve">Quelle: STATISTIK AUSTRIA, Statistik des Bevölkerungsstandes, Statistik der natürlichen Bevölkerungsbewegung, Wanderungsstatistik. </w:t>
      </w:r>
      <w:r w:rsidRPr="003D3329">
        <w:rPr>
          <w:sz w:val="16"/>
          <w:szCs w:val="16"/>
        </w:rPr>
        <w:t>Erstellt am 26.05.2025.</w:t>
      </w:r>
    </w:p>
  </w:footnote>
  <w:footnote w:id="2">
    <w:p w14:paraId="15A92AA8" w14:textId="77777777" w:rsidR="003D3329" w:rsidRDefault="003D3329" w:rsidP="003D3329">
      <w:pPr>
        <w:pStyle w:val="Funotentext"/>
      </w:pPr>
      <w:r>
        <w:rPr>
          <w:rStyle w:val="Funotenzeichen"/>
        </w:rPr>
        <w:footnoteRef/>
      </w:r>
      <w:r>
        <w:t xml:space="preserve"> </w:t>
      </w:r>
      <w:r w:rsidRPr="002A6357">
        <w:rPr>
          <w:sz w:val="16"/>
          <w:szCs w:val="16"/>
        </w:rPr>
        <w:t>NUTS3 Waldviertel = 5 Bezirke Gmünd, Horn, Krems-Land, Waidhofen/Thaya, Zwettl sowie Stadt Krems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9759" w14:textId="5D3D0FB4" w:rsidR="003F4A24" w:rsidRDefault="00396F5D" w:rsidP="00396F5D">
    <w:pPr>
      <w:pStyle w:val="Kopfzeile"/>
      <w:jc w:val="right"/>
    </w:pPr>
    <w:r>
      <w:rPr>
        <w:noProof/>
      </w:rPr>
      <w:drawing>
        <wp:inline distT="0" distB="0" distL="0" distR="0" wp14:anchorId="08B0D3D1" wp14:editId="45B9D77A">
          <wp:extent cx="2160000" cy="855675"/>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855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600A"/>
    <w:multiLevelType w:val="hybridMultilevel"/>
    <w:tmpl w:val="627A6C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A2E141C"/>
    <w:multiLevelType w:val="hybridMultilevel"/>
    <w:tmpl w:val="55DC5DFE"/>
    <w:lvl w:ilvl="0" w:tplc="B0982D86">
      <w:start w:val="1"/>
      <w:numFmt w:val="bullet"/>
      <w:lvlText w:val=""/>
      <w:lvlJc w:val="left"/>
      <w:pPr>
        <w:ind w:left="1620" w:hanging="1260"/>
      </w:pPr>
      <w:rPr>
        <w:rFonts w:ascii="Wingdings" w:hAnsi="Wingdings" w:hint="default"/>
        <w:color w:val="00B050"/>
        <w:u w:color="00B05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19336E"/>
    <w:multiLevelType w:val="hybridMultilevel"/>
    <w:tmpl w:val="78A60CF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052048B"/>
    <w:multiLevelType w:val="hybridMultilevel"/>
    <w:tmpl w:val="918AC462"/>
    <w:lvl w:ilvl="0" w:tplc="68A88E7C">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1941A08"/>
    <w:multiLevelType w:val="hybridMultilevel"/>
    <w:tmpl w:val="5D3E8950"/>
    <w:lvl w:ilvl="0" w:tplc="FFFFFFFF">
      <w:start w:val="1"/>
      <w:numFmt w:val="bullet"/>
      <w:lvlText w:val=""/>
      <w:lvlJc w:val="left"/>
      <w:pPr>
        <w:ind w:left="720" w:hanging="360"/>
      </w:pPr>
      <w:rPr>
        <w:rFonts w:ascii="Symbol" w:hAnsi="Symbol" w:hint="default"/>
      </w:rPr>
    </w:lvl>
    <w:lvl w:ilvl="1" w:tplc="70A84AD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A6F21C6"/>
    <w:multiLevelType w:val="hybridMultilevel"/>
    <w:tmpl w:val="25F45BF6"/>
    <w:lvl w:ilvl="0" w:tplc="47BECA5E">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4671274"/>
    <w:multiLevelType w:val="hybridMultilevel"/>
    <w:tmpl w:val="1A160B68"/>
    <w:lvl w:ilvl="0" w:tplc="68A88E7C">
      <w:numFmt w:val="bullet"/>
      <w:lvlText w:val="•"/>
      <w:lvlJc w:val="left"/>
      <w:pPr>
        <w:ind w:left="1980" w:hanging="1260"/>
      </w:pPr>
      <w:rPr>
        <w:rFonts w:ascii="Verdana" w:eastAsia="Cambria" w:hAnsi="Verdana"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7" w15:restartNumberingAfterBreak="0">
    <w:nsid w:val="70F5466E"/>
    <w:multiLevelType w:val="hybridMultilevel"/>
    <w:tmpl w:val="587C11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68A4E06"/>
    <w:multiLevelType w:val="hybridMultilevel"/>
    <w:tmpl w:val="1188EECA"/>
    <w:lvl w:ilvl="0" w:tplc="043849D6">
      <w:numFmt w:val="bullet"/>
      <w:lvlText w:val="-"/>
      <w:lvlJc w:val="left"/>
      <w:pPr>
        <w:ind w:left="720" w:hanging="3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6A43691"/>
    <w:multiLevelType w:val="hybridMultilevel"/>
    <w:tmpl w:val="2884A1F6"/>
    <w:lvl w:ilvl="0" w:tplc="EB4C4B38">
      <w:start w:val="1"/>
      <w:numFmt w:val="bullet"/>
      <w:lvlText w:val=""/>
      <w:lvlJc w:val="left"/>
      <w:pPr>
        <w:ind w:left="720" w:hanging="360"/>
      </w:pPr>
      <w:rPr>
        <w:rFonts w:ascii="Wingdings" w:hAnsi="Wingdings" w:hint="default"/>
        <w:color w:val="FFC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B134F20"/>
    <w:multiLevelType w:val="hybridMultilevel"/>
    <w:tmpl w:val="81CA7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E4907A0"/>
    <w:multiLevelType w:val="hybridMultilevel"/>
    <w:tmpl w:val="6DB06A1C"/>
    <w:lvl w:ilvl="0" w:tplc="68A88E7C">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17385025">
    <w:abstractNumId w:val="10"/>
  </w:num>
  <w:num w:numId="2" w16cid:durableId="927664116">
    <w:abstractNumId w:val="3"/>
  </w:num>
  <w:num w:numId="3" w16cid:durableId="1085300162">
    <w:abstractNumId w:val="6"/>
  </w:num>
  <w:num w:numId="4" w16cid:durableId="1777821396">
    <w:abstractNumId w:val="11"/>
  </w:num>
  <w:num w:numId="5" w16cid:durableId="1299529250">
    <w:abstractNumId w:val="7"/>
  </w:num>
  <w:num w:numId="6" w16cid:durableId="990907176">
    <w:abstractNumId w:val="5"/>
  </w:num>
  <w:num w:numId="7" w16cid:durableId="518590678">
    <w:abstractNumId w:val="1"/>
  </w:num>
  <w:num w:numId="8" w16cid:durableId="1187913813">
    <w:abstractNumId w:val="8"/>
  </w:num>
  <w:num w:numId="9" w16cid:durableId="866721593">
    <w:abstractNumId w:val="0"/>
  </w:num>
  <w:num w:numId="10" w16cid:durableId="140078861">
    <w:abstractNumId w:val="9"/>
  </w:num>
  <w:num w:numId="11" w16cid:durableId="1217156360">
    <w:abstractNumId w:val="4"/>
  </w:num>
  <w:num w:numId="12" w16cid:durableId="1898200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DF"/>
    <w:rsid w:val="000000A8"/>
    <w:rsid w:val="00003DBA"/>
    <w:rsid w:val="00013069"/>
    <w:rsid w:val="000130B7"/>
    <w:rsid w:val="0001371E"/>
    <w:rsid w:val="00023BB4"/>
    <w:rsid w:val="0002455E"/>
    <w:rsid w:val="0002462E"/>
    <w:rsid w:val="000278B8"/>
    <w:rsid w:val="0004469F"/>
    <w:rsid w:val="00044B97"/>
    <w:rsid w:val="00045667"/>
    <w:rsid w:val="00062DAE"/>
    <w:rsid w:val="00071273"/>
    <w:rsid w:val="00076CDC"/>
    <w:rsid w:val="00080BC9"/>
    <w:rsid w:val="00083521"/>
    <w:rsid w:val="000A1E72"/>
    <w:rsid w:val="000A333D"/>
    <w:rsid w:val="000A3B7D"/>
    <w:rsid w:val="000A4D62"/>
    <w:rsid w:val="000A5C8E"/>
    <w:rsid w:val="000B0BCE"/>
    <w:rsid w:val="000B2EBD"/>
    <w:rsid w:val="000C5632"/>
    <w:rsid w:val="000C6A50"/>
    <w:rsid w:val="000D1C12"/>
    <w:rsid w:val="000D2C9E"/>
    <w:rsid w:val="000D47C6"/>
    <w:rsid w:val="000E0CBF"/>
    <w:rsid w:val="000E28F1"/>
    <w:rsid w:val="000F1340"/>
    <w:rsid w:val="000F2F3D"/>
    <w:rsid w:val="00101AE2"/>
    <w:rsid w:val="00111163"/>
    <w:rsid w:val="0011639A"/>
    <w:rsid w:val="0013108A"/>
    <w:rsid w:val="00131161"/>
    <w:rsid w:val="00134758"/>
    <w:rsid w:val="001350F5"/>
    <w:rsid w:val="00135310"/>
    <w:rsid w:val="001368A3"/>
    <w:rsid w:val="00140D36"/>
    <w:rsid w:val="0014237E"/>
    <w:rsid w:val="00146022"/>
    <w:rsid w:val="00146EF2"/>
    <w:rsid w:val="001502E2"/>
    <w:rsid w:val="00152072"/>
    <w:rsid w:val="00154C0F"/>
    <w:rsid w:val="0015633A"/>
    <w:rsid w:val="001577AC"/>
    <w:rsid w:val="00161465"/>
    <w:rsid w:val="001802A8"/>
    <w:rsid w:val="00183908"/>
    <w:rsid w:val="001A5713"/>
    <w:rsid w:val="001A653C"/>
    <w:rsid w:val="001B059A"/>
    <w:rsid w:val="001B3131"/>
    <w:rsid w:val="001C0FEE"/>
    <w:rsid w:val="001C2A98"/>
    <w:rsid w:val="001D0587"/>
    <w:rsid w:val="001F28BA"/>
    <w:rsid w:val="001F45E7"/>
    <w:rsid w:val="00203434"/>
    <w:rsid w:val="00207307"/>
    <w:rsid w:val="0021012A"/>
    <w:rsid w:val="002114BD"/>
    <w:rsid w:val="002141DC"/>
    <w:rsid w:val="00222075"/>
    <w:rsid w:val="00232ADA"/>
    <w:rsid w:val="00237B61"/>
    <w:rsid w:val="002444EE"/>
    <w:rsid w:val="00261DF7"/>
    <w:rsid w:val="00261FE6"/>
    <w:rsid w:val="00264505"/>
    <w:rsid w:val="002705AE"/>
    <w:rsid w:val="00281AC9"/>
    <w:rsid w:val="002855AD"/>
    <w:rsid w:val="002924FD"/>
    <w:rsid w:val="00294CBE"/>
    <w:rsid w:val="00297F74"/>
    <w:rsid w:val="002A6357"/>
    <w:rsid w:val="002B7C32"/>
    <w:rsid w:val="002C6CF0"/>
    <w:rsid w:val="002D333B"/>
    <w:rsid w:val="002E2E94"/>
    <w:rsid w:val="002E75A3"/>
    <w:rsid w:val="002F4923"/>
    <w:rsid w:val="002F561F"/>
    <w:rsid w:val="00300DE9"/>
    <w:rsid w:val="003022C9"/>
    <w:rsid w:val="00306831"/>
    <w:rsid w:val="003137E7"/>
    <w:rsid w:val="00315C37"/>
    <w:rsid w:val="0032322A"/>
    <w:rsid w:val="00352FC8"/>
    <w:rsid w:val="00366349"/>
    <w:rsid w:val="00370ECF"/>
    <w:rsid w:val="003844EA"/>
    <w:rsid w:val="00396F5D"/>
    <w:rsid w:val="003974F6"/>
    <w:rsid w:val="003A0490"/>
    <w:rsid w:val="003A34C0"/>
    <w:rsid w:val="003B1164"/>
    <w:rsid w:val="003B58F4"/>
    <w:rsid w:val="003C1A17"/>
    <w:rsid w:val="003D3329"/>
    <w:rsid w:val="003E35E2"/>
    <w:rsid w:val="003E4717"/>
    <w:rsid w:val="003F4A24"/>
    <w:rsid w:val="003F5A09"/>
    <w:rsid w:val="00405730"/>
    <w:rsid w:val="0041061D"/>
    <w:rsid w:val="00410981"/>
    <w:rsid w:val="00413923"/>
    <w:rsid w:val="00414C54"/>
    <w:rsid w:val="004157D1"/>
    <w:rsid w:val="00416C48"/>
    <w:rsid w:val="004223A1"/>
    <w:rsid w:val="0042417B"/>
    <w:rsid w:val="00432843"/>
    <w:rsid w:val="0044195E"/>
    <w:rsid w:val="00456FB2"/>
    <w:rsid w:val="004642DA"/>
    <w:rsid w:val="0046557F"/>
    <w:rsid w:val="00473D3A"/>
    <w:rsid w:val="004827A2"/>
    <w:rsid w:val="004A654C"/>
    <w:rsid w:val="004A70FF"/>
    <w:rsid w:val="004B021E"/>
    <w:rsid w:val="004B32A5"/>
    <w:rsid w:val="004C1B9C"/>
    <w:rsid w:val="004C22AF"/>
    <w:rsid w:val="004C2A2D"/>
    <w:rsid w:val="004C7B12"/>
    <w:rsid w:val="004D1D13"/>
    <w:rsid w:val="004D4101"/>
    <w:rsid w:val="004D5ED6"/>
    <w:rsid w:val="004D5FAA"/>
    <w:rsid w:val="004F103F"/>
    <w:rsid w:val="004F7138"/>
    <w:rsid w:val="00500E3A"/>
    <w:rsid w:val="00506ABC"/>
    <w:rsid w:val="00507244"/>
    <w:rsid w:val="0051743B"/>
    <w:rsid w:val="0054306B"/>
    <w:rsid w:val="005544ED"/>
    <w:rsid w:val="005641E6"/>
    <w:rsid w:val="00564477"/>
    <w:rsid w:val="00570FC7"/>
    <w:rsid w:val="00571F9A"/>
    <w:rsid w:val="00577902"/>
    <w:rsid w:val="005802A3"/>
    <w:rsid w:val="005805CC"/>
    <w:rsid w:val="005869B3"/>
    <w:rsid w:val="00592133"/>
    <w:rsid w:val="005929BF"/>
    <w:rsid w:val="00594B34"/>
    <w:rsid w:val="005A206E"/>
    <w:rsid w:val="005A38FB"/>
    <w:rsid w:val="005A49D5"/>
    <w:rsid w:val="005D659A"/>
    <w:rsid w:val="005E05A3"/>
    <w:rsid w:val="005E21E8"/>
    <w:rsid w:val="005E62F3"/>
    <w:rsid w:val="005E6EF2"/>
    <w:rsid w:val="005F5BBC"/>
    <w:rsid w:val="005F642F"/>
    <w:rsid w:val="0060163D"/>
    <w:rsid w:val="00614077"/>
    <w:rsid w:val="00620ECD"/>
    <w:rsid w:val="00622F7F"/>
    <w:rsid w:val="00627827"/>
    <w:rsid w:val="0063658E"/>
    <w:rsid w:val="0064181E"/>
    <w:rsid w:val="00660EDF"/>
    <w:rsid w:val="00670CAE"/>
    <w:rsid w:val="00684294"/>
    <w:rsid w:val="00687FA9"/>
    <w:rsid w:val="00690EC7"/>
    <w:rsid w:val="006916E4"/>
    <w:rsid w:val="00697BFA"/>
    <w:rsid w:val="006C70D9"/>
    <w:rsid w:val="006D01A1"/>
    <w:rsid w:val="006D0F2F"/>
    <w:rsid w:val="006D2025"/>
    <w:rsid w:val="006D2B5D"/>
    <w:rsid w:val="006E1818"/>
    <w:rsid w:val="006F6285"/>
    <w:rsid w:val="007045D1"/>
    <w:rsid w:val="00705517"/>
    <w:rsid w:val="0070627F"/>
    <w:rsid w:val="007171EF"/>
    <w:rsid w:val="00720650"/>
    <w:rsid w:val="00722144"/>
    <w:rsid w:val="007245EB"/>
    <w:rsid w:val="00724DE2"/>
    <w:rsid w:val="00724E4A"/>
    <w:rsid w:val="00726639"/>
    <w:rsid w:val="007329E6"/>
    <w:rsid w:val="0075762C"/>
    <w:rsid w:val="00766E79"/>
    <w:rsid w:val="00775C07"/>
    <w:rsid w:val="00792D71"/>
    <w:rsid w:val="00794CE7"/>
    <w:rsid w:val="0079504C"/>
    <w:rsid w:val="0079586D"/>
    <w:rsid w:val="00797026"/>
    <w:rsid w:val="007970BB"/>
    <w:rsid w:val="00797538"/>
    <w:rsid w:val="007A3A95"/>
    <w:rsid w:val="007B3122"/>
    <w:rsid w:val="007B5A26"/>
    <w:rsid w:val="007C7485"/>
    <w:rsid w:val="007F19C3"/>
    <w:rsid w:val="00803E8E"/>
    <w:rsid w:val="008050C3"/>
    <w:rsid w:val="00805675"/>
    <w:rsid w:val="00810003"/>
    <w:rsid w:val="0081600A"/>
    <w:rsid w:val="00821AD2"/>
    <w:rsid w:val="008230DA"/>
    <w:rsid w:val="00826227"/>
    <w:rsid w:val="00841C22"/>
    <w:rsid w:val="0084548E"/>
    <w:rsid w:val="008515DD"/>
    <w:rsid w:val="00861F4A"/>
    <w:rsid w:val="00862BF2"/>
    <w:rsid w:val="00865696"/>
    <w:rsid w:val="00872D59"/>
    <w:rsid w:val="008836CC"/>
    <w:rsid w:val="008844AD"/>
    <w:rsid w:val="008867FD"/>
    <w:rsid w:val="00890246"/>
    <w:rsid w:val="00894C91"/>
    <w:rsid w:val="008A128F"/>
    <w:rsid w:val="008A521C"/>
    <w:rsid w:val="008A5F67"/>
    <w:rsid w:val="008B4832"/>
    <w:rsid w:val="008C6B0B"/>
    <w:rsid w:val="008C73D4"/>
    <w:rsid w:val="008D4D98"/>
    <w:rsid w:val="008D7363"/>
    <w:rsid w:val="008E42ED"/>
    <w:rsid w:val="008E635A"/>
    <w:rsid w:val="008F099B"/>
    <w:rsid w:val="009026B9"/>
    <w:rsid w:val="00922D0A"/>
    <w:rsid w:val="00932C89"/>
    <w:rsid w:val="00936173"/>
    <w:rsid w:val="009375F1"/>
    <w:rsid w:val="00937C6A"/>
    <w:rsid w:val="009461A9"/>
    <w:rsid w:val="00956268"/>
    <w:rsid w:val="00960696"/>
    <w:rsid w:val="0096463C"/>
    <w:rsid w:val="0097280C"/>
    <w:rsid w:val="00975C51"/>
    <w:rsid w:val="009839BF"/>
    <w:rsid w:val="00984C92"/>
    <w:rsid w:val="00986EFE"/>
    <w:rsid w:val="009A25DF"/>
    <w:rsid w:val="009B02BE"/>
    <w:rsid w:val="009B10BB"/>
    <w:rsid w:val="009B1518"/>
    <w:rsid w:val="009B3A35"/>
    <w:rsid w:val="009B5FA4"/>
    <w:rsid w:val="009C1818"/>
    <w:rsid w:val="009C2DC8"/>
    <w:rsid w:val="009C78A0"/>
    <w:rsid w:val="009D2898"/>
    <w:rsid w:val="009D4845"/>
    <w:rsid w:val="009E44C9"/>
    <w:rsid w:val="009F1DB0"/>
    <w:rsid w:val="00A02EB6"/>
    <w:rsid w:val="00A036B9"/>
    <w:rsid w:val="00A130DD"/>
    <w:rsid w:val="00A20520"/>
    <w:rsid w:val="00A222E4"/>
    <w:rsid w:val="00A24B8A"/>
    <w:rsid w:val="00A25E49"/>
    <w:rsid w:val="00A3517C"/>
    <w:rsid w:val="00A423A0"/>
    <w:rsid w:val="00A46DF2"/>
    <w:rsid w:val="00A51501"/>
    <w:rsid w:val="00A6095D"/>
    <w:rsid w:val="00A7145C"/>
    <w:rsid w:val="00A7445C"/>
    <w:rsid w:val="00A7640E"/>
    <w:rsid w:val="00A77888"/>
    <w:rsid w:val="00A84D2A"/>
    <w:rsid w:val="00A87FDF"/>
    <w:rsid w:val="00A92312"/>
    <w:rsid w:val="00A977D4"/>
    <w:rsid w:val="00A9799E"/>
    <w:rsid w:val="00AA2110"/>
    <w:rsid w:val="00AA32D4"/>
    <w:rsid w:val="00AA4D08"/>
    <w:rsid w:val="00AA671B"/>
    <w:rsid w:val="00AB20D7"/>
    <w:rsid w:val="00AB6932"/>
    <w:rsid w:val="00AE4A29"/>
    <w:rsid w:val="00AF2294"/>
    <w:rsid w:val="00AF34AC"/>
    <w:rsid w:val="00AF528E"/>
    <w:rsid w:val="00AF6A5F"/>
    <w:rsid w:val="00B00CA1"/>
    <w:rsid w:val="00B03162"/>
    <w:rsid w:val="00B121E4"/>
    <w:rsid w:val="00B26C37"/>
    <w:rsid w:val="00B31DBC"/>
    <w:rsid w:val="00B40CAD"/>
    <w:rsid w:val="00B41AC1"/>
    <w:rsid w:val="00B42B34"/>
    <w:rsid w:val="00B71C9E"/>
    <w:rsid w:val="00B726CA"/>
    <w:rsid w:val="00B86209"/>
    <w:rsid w:val="00B87222"/>
    <w:rsid w:val="00B934FA"/>
    <w:rsid w:val="00B95073"/>
    <w:rsid w:val="00BA5850"/>
    <w:rsid w:val="00BB7885"/>
    <w:rsid w:val="00BC7166"/>
    <w:rsid w:val="00BC7B2F"/>
    <w:rsid w:val="00BE3ABD"/>
    <w:rsid w:val="00BF0255"/>
    <w:rsid w:val="00BF0E6E"/>
    <w:rsid w:val="00BF31DF"/>
    <w:rsid w:val="00BF70D3"/>
    <w:rsid w:val="00C011ED"/>
    <w:rsid w:val="00C04059"/>
    <w:rsid w:val="00C04D55"/>
    <w:rsid w:val="00C0632D"/>
    <w:rsid w:val="00C2484D"/>
    <w:rsid w:val="00C27E46"/>
    <w:rsid w:val="00C40DD1"/>
    <w:rsid w:val="00C60552"/>
    <w:rsid w:val="00C624B9"/>
    <w:rsid w:val="00C72C09"/>
    <w:rsid w:val="00C74DDF"/>
    <w:rsid w:val="00C76FBF"/>
    <w:rsid w:val="00C77943"/>
    <w:rsid w:val="00C848AF"/>
    <w:rsid w:val="00CA4E15"/>
    <w:rsid w:val="00CB029A"/>
    <w:rsid w:val="00CB553B"/>
    <w:rsid w:val="00CC2644"/>
    <w:rsid w:val="00CC7851"/>
    <w:rsid w:val="00CD1ABF"/>
    <w:rsid w:val="00CD1CC5"/>
    <w:rsid w:val="00CD43CD"/>
    <w:rsid w:val="00CE1504"/>
    <w:rsid w:val="00CF31DD"/>
    <w:rsid w:val="00D03FC8"/>
    <w:rsid w:val="00D0463D"/>
    <w:rsid w:val="00D17165"/>
    <w:rsid w:val="00D232B5"/>
    <w:rsid w:val="00D3182F"/>
    <w:rsid w:val="00D47078"/>
    <w:rsid w:val="00D64D47"/>
    <w:rsid w:val="00D93A72"/>
    <w:rsid w:val="00DA6DE0"/>
    <w:rsid w:val="00DB68CC"/>
    <w:rsid w:val="00DB6A98"/>
    <w:rsid w:val="00DC4612"/>
    <w:rsid w:val="00DC63D4"/>
    <w:rsid w:val="00DD0987"/>
    <w:rsid w:val="00DE21B8"/>
    <w:rsid w:val="00E000A9"/>
    <w:rsid w:val="00E07345"/>
    <w:rsid w:val="00E1791D"/>
    <w:rsid w:val="00E233CB"/>
    <w:rsid w:val="00E24BA9"/>
    <w:rsid w:val="00E25871"/>
    <w:rsid w:val="00E332C4"/>
    <w:rsid w:val="00E343C3"/>
    <w:rsid w:val="00E461D3"/>
    <w:rsid w:val="00E466B3"/>
    <w:rsid w:val="00E5404B"/>
    <w:rsid w:val="00E61DD6"/>
    <w:rsid w:val="00E658BF"/>
    <w:rsid w:val="00E70F08"/>
    <w:rsid w:val="00E8027D"/>
    <w:rsid w:val="00E8541E"/>
    <w:rsid w:val="00EA229E"/>
    <w:rsid w:val="00EA4DA8"/>
    <w:rsid w:val="00EB5E1B"/>
    <w:rsid w:val="00EB5F8B"/>
    <w:rsid w:val="00EB7BED"/>
    <w:rsid w:val="00EC3447"/>
    <w:rsid w:val="00ED7F73"/>
    <w:rsid w:val="00F03D3D"/>
    <w:rsid w:val="00F07748"/>
    <w:rsid w:val="00F13434"/>
    <w:rsid w:val="00F15EAF"/>
    <w:rsid w:val="00F2068B"/>
    <w:rsid w:val="00F22E72"/>
    <w:rsid w:val="00F23747"/>
    <w:rsid w:val="00F27C04"/>
    <w:rsid w:val="00F324EC"/>
    <w:rsid w:val="00F3560E"/>
    <w:rsid w:val="00F50353"/>
    <w:rsid w:val="00F53CE1"/>
    <w:rsid w:val="00F56731"/>
    <w:rsid w:val="00F60770"/>
    <w:rsid w:val="00F63C92"/>
    <w:rsid w:val="00F76F64"/>
    <w:rsid w:val="00F85884"/>
    <w:rsid w:val="00F86BCA"/>
    <w:rsid w:val="00F91502"/>
    <w:rsid w:val="00F943C2"/>
    <w:rsid w:val="00FA1EFA"/>
    <w:rsid w:val="00FA271A"/>
    <w:rsid w:val="00FA4FD3"/>
    <w:rsid w:val="00FA6214"/>
    <w:rsid w:val="00FB1EA8"/>
    <w:rsid w:val="00FB396A"/>
    <w:rsid w:val="00FD167A"/>
    <w:rsid w:val="00FD1A83"/>
    <w:rsid w:val="00FD3C1F"/>
    <w:rsid w:val="00FF60A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oNotEmbedSmartTags/>
  <w:decimalSymbol w:val=","/>
  <w:listSeparator w:val=";"/>
  <w14:docId w14:val="4C3F549D"/>
  <w15:docId w15:val="{E8A093C5-E0ED-4DDE-89A9-466FD21B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1273"/>
    <w:pPr>
      <w:spacing w:line="360" w:lineRule="auto"/>
    </w:pPr>
    <w:rPr>
      <w:rFonts w:ascii="Verdana" w:hAnsi="Verdana"/>
      <w:lang w:val="de-DE" w:eastAsia="en-US"/>
    </w:rPr>
  </w:style>
  <w:style w:type="paragraph" w:styleId="berschrift1">
    <w:name w:val="heading 1"/>
    <w:basedOn w:val="Standard"/>
    <w:next w:val="Standard"/>
    <w:link w:val="berschrift1Zchn"/>
    <w:uiPriority w:val="9"/>
    <w:qFormat/>
    <w:rsid w:val="008515DD"/>
    <w:pPr>
      <w:keepNext/>
      <w:keepLines/>
      <w:spacing w:after="120"/>
      <w:outlineLvl w:val="0"/>
    </w:pPr>
    <w:rPr>
      <w:rFonts w:eastAsiaTheme="majorEastAsia" w:cstheme="majorBidi"/>
      <w:color w:val="000000" w:themeColor="text1"/>
      <w:sz w:val="32"/>
      <w:szCs w:val="32"/>
    </w:rPr>
  </w:style>
  <w:style w:type="paragraph" w:styleId="berschrift2">
    <w:name w:val="heading 2"/>
    <w:basedOn w:val="Standard"/>
    <w:next w:val="Standard"/>
    <w:link w:val="berschrift2Zchn"/>
    <w:uiPriority w:val="9"/>
    <w:semiHidden/>
    <w:unhideWhenUsed/>
    <w:qFormat/>
    <w:rsid w:val="008844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06C09"/>
    <w:pPr>
      <w:tabs>
        <w:tab w:val="center" w:pos="4536"/>
        <w:tab w:val="right" w:pos="9072"/>
      </w:tabs>
    </w:pPr>
    <w:rPr>
      <w:sz w:val="18"/>
    </w:rPr>
  </w:style>
  <w:style w:type="character" w:customStyle="1" w:styleId="KopfzeileZchn">
    <w:name w:val="Kopfzeile Zchn"/>
    <w:basedOn w:val="Absatz-Standardschriftart"/>
    <w:link w:val="Kopfzeile"/>
    <w:uiPriority w:val="99"/>
    <w:rsid w:val="00406C09"/>
    <w:rPr>
      <w:sz w:val="24"/>
      <w:lang w:eastAsia="en-US"/>
    </w:rPr>
  </w:style>
  <w:style w:type="paragraph" w:styleId="Fuzeile">
    <w:name w:val="footer"/>
    <w:basedOn w:val="Standard"/>
    <w:link w:val="FuzeileZchn"/>
    <w:uiPriority w:val="99"/>
    <w:unhideWhenUsed/>
    <w:rsid w:val="00406C09"/>
    <w:pPr>
      <w:tabs>
        <w:tab w:val="center" w:pos="4536"/>
        <w:tab w:val="right" w:pos="9072"/>
      </w:tabs>
    </w:pPr>
    <w:rPr>
      <w:sz w:val="18"/>
    </w:rPr>
  </w:style>
  <w:style w:type="character" w:customStyle="1" w:styleId="FuzeileZchn">
    <w:name w:val="Fußzeile Zchn"/>
    <w:basedOn w:val="Absatz-Standardschriftart"/>
    <w:link w:val="Fuzeile"/>
    <w:uiPriority w:val="99"/>
    <w:rsid w:val="00406C09"/>
    <w:rPr>
      <w:sz w:val="24"/>
      <w:lang w:eastAsia="en-US"/>
    </w:rPr>
  </w:style>
  <w:style w:type="paragraph" w:styleId="Dokumentstruktur">
    <w:name w:val="Document Map"/>
    <w:basedOn w:val="Standard"/>
    <w:link w:val="DokumentstrukturZchn"/>
    <w:uiPriority w:val="99"/>
    <w:semiHidden/>
    <w:unhideWhenUsed/>
    <w:rsid w:val="00A130DD"/>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A130DD"/>
    <w:rPr>
      <w:rFonts w:ascii="Tahoma" w:hAnsi="Tahoma" w:cs="Tahoma"/>
      <w:sz w:val="16"/>
      <w:szCs w:val="16"/>
      <w:lang w:val="de-DE" w:eastAsia="en-US"/>
    </w:rPr>
  </w:style>
  <w:style w:type="character" w:styleId="Hyperlink">
    <w:name w:val="Hyperlink"/>
    <w:basedOn w:val="Absatz-Standardschriftart"/>
    <w:uiPriority w:val="99"/>
    <w:unhideWhenUsed/>
    <w:rsid w:val="00A130DD"/>
    <w:rPr>
      <w:color w:val="auto"/>
      <w:u w:val="single"/>
    </w:rPr>
  </w:style>
  <w:style w:type="paragraph" w:styleId="Beschriftung">
    <w:name w:val="caption"/>
    <w:basedOn w:val="Standard"/>
    <w:next w:val="Standard"/>
    <w:uiPriority w:val="35"/>
    <w:unhideWhenUsed/>
    <w:qFormat/>
    <w:rsid w:val="0015633A"/>
    <w:pPr>
      <w:spacing w:after="200"/>
    </w:pPr>
    <w:rPr>
      <w:iCs/>
      <w:color w:val="006600"/>
      <w:sz w:val="18"/>
      <w:szCs w:val="18"/>
    </w:rPr>
  </w:style>
  <w:style w:type="character" w:customStyle="1" w:styleId="berschrift1Zchn">
    <w:name w:val="Überschrift 1 Zchn"/>
    <w:basedOn w:val="Absatz-Standardschriftart"/>
    <w:link w:val="berschrift1"/>
    <w:uiPriority w:val="9"/>
    <w:rsid w:val="008515DD"/>
    <w:rPr>
      <w:rFonts w:ascii="Verdana" w:eastAsiaTheme="majorEastAsia" w:hAnsi="Verdana" w:cstheme="majorBidi"/>
      <w:color w:val="000000" w:themeColor="text1"/>
      <w:sz w:val="32"/>
      <w:szCs w:val="32"/>
      <w:lang w:val="de-DE" w:eastAsia="en-US"/>
    </w:rPr>
  </w:style>
  <w:style w:type="paragraph" w:styleId="Sprechblasentext">
    <w:name w:val="Balloon Text"/>
    <w:basedOn w:val="Standard"/>
    <w:link w:val="SprechblasentextZchn"/>
    <w:uiPriority w:val="99"/>
    <w:semiHidden/>
    <w:unhideWhenUsed/>
    <w:rsid w:val="004C22A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22AF"/>
    <w:rPr>
      <w:rFonts w:ascii="Segoe UI" w:hAnsi="Segoe UI" w:cs="Segoe UI"/>
      <w:sz w:val="18"/>
      <w:szCs w:val="18"/>
      <w:lang w:val="de-DE" w:eastAsia="en-US"/>
    </w:rPr>
  </w:style>
  <w:style w:type="character" w:styleId="SchwacheHervorhebung">
    <w:name w:val="Subtle Emphasis"/>
    <w:basedOn w:val="Absatz-Standardschriftart"/>
    <w:uiPriority w:val="19"/>
    <w:qFormat/>
    <w:rsid w:val="00956268"/>
    <w:rPr>
      <w:rFonts w:ascii="Verdana" w:hAnsi="Verdana"/>
      <w:i/>
      <w:iCs/>
      <w:color w:val="808080" w:themeColor="text1" w:themeTint="7F"/>
      <w:sz w:val="16"/>
    </w:rPr>
  </w:style>
  <w:style w:type="paragraph" w:styleId="StandardWeb">
    <w:name w:val="Normal (Web)"/>
    <w:basedOn w:val="Standard"/>
    <w:uiPriority w:val="99"/>
    <w:rsid w:val="00F15EAF"/>
    <w:pPr>
      <w:spacing w:before="100" w:beforeAutospacing="1" w:after="100" w:afterAutospacing="1"/>
    </w:pPr>
    <w:rPr>
      <w:rFonts w:ascii="Times New Roman" w:eastAsia="Times New Roman" w:hAnsi="Times New Roman"/>
      <w:sz w:val="18"/>
      <w:szCs w:val="24"/>
      <w:lang w:val="de-AT" w:eastAsia="de-AT"/>
    </w:rPr>
  </w:style>
  <w:style w:type="character" w:styleId="NichtaufgelsteErwhnung">
    <w:name w:val="Unresolved Mention"/>
    <w:basedOn w:val="Absatz-Standardschriftart"/>
    <w:uiPriority w:val="99"/>
    <w:semiHidden/>
    <w:unhideWhenUsed/>
    <w:rsid w:val="002F4923"/>
    <w:rPr>
      <w:color w:val="808080"/>
      <w:shd w:val="clear" w:color="auto" w:fill="E6E6E6"/>
    </w:rPr>
  </w:style>
  <w:style w:type="paragraph" w:styleId="Listenabsatz">
    <w:name w:val="List Paragraph"/>
    <w:basedOn w:val="Standard"/>
    <w:uiPriority w:val="34"/>
    <w:qFormat/>
    <w:rsid w:val="00CB029A"/>
    <w:pPr>
      <w:ind w:left="720"/>
      <w:contextualSpacing/>
    </w:pPr>
    <w:rPr>
      <w:sz w:val="18"/>
    </w:rPr>
  </w:style>
  <w:style w:type="paragraph" w:styleId="Funotentext">
    <w:name w:val="footnote text"/>
    <w:basedOn w:val="Standard"/>
    <w:link w:val="FunotentextZchn"/>
    <w:uiPriority w:val="99"/>
    <w:semiHidden/>
    <w:unhideWhenUsed/>
    <w:rsid w:val="00D03FC8"/>
  </w:style>
  <w:style w:type="character" w:customStyle="1" w:styleId="FunotentextZchn">
    <w:name w:val="Fußnotentext Zchn"/>
    <w:basedOn w:val="Absatz-Standardschriftart"/>
    <w:link w:val="Funotentext"/>
    <w:uiPriority w:val="99"/>
    <w:semiHidden/>
    <w:rsid w:val="00D03FC8"/>
    <w:rPr>
      <w:lang w:val="de-DE" w:eastAsia="en-US"/>
    </w:rPr>
  </w:style>
  <w:style w:type="character" w:styleId="Funotenzeichen">
    <w:name w:val="footnote reference"/>
    <w:basedOn w:val="Absatz-Standardschriftart"/>
    <w:uiPriority w:val="99"/>
    <w:semiHidden/>
    <w:unhideWhenUsed/>
    <w:rsid w:val="00D03FC8"/>
    <w:rPr>
      <w:vertAlign w:val="superscript"/>
    </w:rPr>
  </w:style>
  <w:style w:type="paragraph" w:styleId="Titel">
    <w:name w:val="Title"/>
    <w:basedOn w:val="Standard"/>
    <w:next w:val="Standard"/>
    <w:link w:val="TitelZchn"/>
    <w:uiPriority w:val="10"/>
    <w:qFormat/>
    <w:rsid w:val="00E343C3"/>
    <w:pPr>
      <w:spacing w:line="240" w:lineRule="auto"/>
      <w:contextualSpacing/>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E343C3"/>
    <w:rPr>
      <w:rFonts w:ascii="Verdana" w:eastAsiaTheme="majorEastAsia" w:hAnsi="Verdana" w:cstheme="majorBidi"/>
      <w:b/>
      <w:spacing w:val="-10"/>
      <w:kern w:val="28"/>
      <w:sz w:val="28"/>
      <w:szCs w:val="56"/>
      <w:lang w:val="de-DE" w:eastAsia="en-US"/>
    </w:rPr>
  </w:style>
  <w:style w:type="table" w:styleId="Tabellenraster">
    <w:name w:val="Table Grid"/>
    <w:basedOn w:val="NormaleTabelle"/>
    <w:uiPriority w:val="39"/>
    <w:rsid w:val="008230DA"/>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A229E"/>
    <w:rPr>
      <w:rFonts w:ascii="Verdana" w:hAnsi="Verdana"/>
      <w:lang w:val="de-DE" w:eastAsia="en-US"/>
    </w:rPr>
  </w:style>
  <w:style w:type="character" w:customStyle="1" w:styleId="berschrift2Zchn">
    <w:name w:val="Überschrift 2 Zchn"/>
    <w:basedOn w:val="Absatz-Standardschriftart"/>
    <w:link w:val="berschrift2"/>
    <w:uiPriority w:val="9"/>
    <w:semiHidden/>
    <w:rsid w:val="008844AD"/>
    <w:rPr>
      <w:rFonts w:asciiTheme="majorHAnsi" w:eastAsiaTheme="majorEastAsia" w:hAnsiTheme="majorHAnsi" w:cstheme="majorBidi"/>
      <w:color w:val="365F91" w:themeColor="accent1" w:themeShade="BF"/>
      <w:sz w:val="26"/>
      <w:szCs w:val="26"/>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7069">
      <w:bodyDiv w:val="1"/>
      <w:marLeft w:val="0"/>
      <w:marRight w:val="0"/>
      <w:marTop w:val="0"/>
      <w:marBottom w:val="0"/>
      <w:divBdr>
        <w:top w:val="none" w:sz="0" w:space="0" w:color="auto"/>
        <w:left w:val="none" w:sz="0" w:space="0" w:color="auto"/>
        <w:bottom w:val="none" w:sz="0" w:space="0" w:color="auto"/>
        <w:right w:val="none" w:sz="0" w:space="0" w:color="auto"/>
      </w:divBdr>
    </w:div>
    <w:div w:id="252788165">
      <w:bodyDiv w:val="1"/>
      <w:marLeft w:val="0"/>
      <w:marRight w:val="0"/>
      <w:marTop w:val="0"/>
      <w:marBottom w:val="0"/>
      <w:divBdr>
        <w:top w:val="none" w:sz="0" w:space="0" w:color="auto"/>
        <w:left w:val="none" w:sz="0" w:space="0" w:color="auto"/>
        <w:bottom w:val="none" w:sz="0" w:space="0" w:color="auto"/>
        <w:right w:val="none" w:sz="0" w:space="0" w:color="auto"/>
      </w:divBdr>
    </w:div>
    <w:div w:id="722288676">
      <w:bodyDiv w:val="1"/>
      <w:marLeft w:val="0"/>
      <w:marRight w:val="0"/>
      <w:marTop w:val="0"/>
      <w:marBottom w:val="0"/>
      <w:divBdr>
        <w:top w:val="none" w:sz="0" w:space="0" w:color="auto"/>
        <w:left w:val="none" w:sz="0" w:space="0" w:color="auto"/>
        <w:bottom w:val="none" w:sz="0" w:space="0" w:color="auto"/>
        <w:right w:val="none" w:sz="0" w:space="0" w:color="auto"/>
      </w:divBdr>
    </w:div>
    <w:div w:id="1268656398">
      <w:bodyDiv w:val="1"/>
      <w:marLeft w:val="0"/>
      <w:marRight w:val="0"/>
      <w:marTop w:val="0"/>
      <w:marBottom w:val="0"/>
      <w:divBdr>
        <w:top w:val="none" w:sz="0" w:space="0" w:color="auto"/>
        <w:left w:val="none" w:sz="0" w:space="0" w:color="auto"/>
        <w:bottom w:val="none" w:sz="0" w:space="0" w:color="auto"/>
        <w:right w:val="none" w:sz="0" w:space="0" w:color="auto"/>
      </w:divBdr>
    </w:div>
    <w:div w:id="1554075564">
      <w:bodyDiv w:val="1"/>
      <w:marLeft w:val="0"/>
      <w:marRight w:val="0"/>
      <w:marTop w:val="0"/>
      <w:marBottom w:val="0"/>
      <w:divBdr>
        <w:top w:val="none" w:sz="0" w:space="0" w:color="auto"/>
        <w:left w:val="none" w:sz="0" w:space="0" w:color="auto"/>
        <w:bottom w:val="none" w:sz="0" w:space="0" w:color="auto"/>
        <w:right w:val="none" w:sz="0" w:space="0" w:color="auto"/>
      </w:divBdr>
    </w:div>
    <w:div w:id="1666204276">
      <w:bodyDiv w:val="1"/>
      <w:marLeft w:val="0"/>
      <w:marRight w:val="0"/>
      <w:marTop w:val="0"/>
      <w:marBottom w:val="0"/>
      <w:divBdr>
        <w:top w:val="none" w:sz="0" w:space="0" w:color="auto"/>
        <w:left w:val="none" w:sz="0" w:space="0" w:color="auto"/>
        <w:bottom w:val="none" w:sz="0" w:space="0" w:color="auto"/>
        <w:right w:val="none" w:sz="0" w:space="0" w:color="auto"/>
      </w:divBdr>
    </w:div>
    <w:div w:id="1705131913">
      <w:bodyDiv w:val="1"/>
      <w:marLeft w:val="0"/>
      <w:marRight w:val="0"/>
      <w:marTop w:val="0"/>
      <w:marBottom w:val="0"/>
      <w:divBdr>
        <w:top w:val="none" w:sz="0" w:space="0" w:color="auto"/>
        <w:left w:val="none" w:sz="0" w:space="0" w:color="auto"/>
        <w:bottom w:val="none" w:sz="0" w:space="0" w:color="auto"/>
        <w:right w:val="none" w:sz="0" w:space="0" w:color="auto"/>
      </w:divBdr>
    </w:div>
    <w:div w:id="1785542245">
      <w:bodyDiv w:val="1"/>
      <w:marLeft w:val="0"/>
      <w:marRight w:val="0"/>
      <w:marTop w:val="0"/>
      <w:marBottom w:val="0"/>
      <w:divBdr>
        <w:top w:val="none" w:sz="0" w:space="0" w:color="auto"/>
        <w:left w:val="none" w:sz="0" w:space="0" w:color="auto"/>
        <w:bottom w:val="none" w:sz="0" w:space="0" w:color="auto"/>
        <w:right w:val="none" w:sz="0" w:space="0" w:color="auto"/>
      </w:divBdr>
    </w:div>
    <w:div w:id="202011280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hnen-im-waldviertel.at/aktuelles" TargetMode="External"/><Relationship Id="rId12" Type="http://schemas.openxmlformats.org/officeDocument/2006/relationships/hyperlink" Target="http://www.wohnen-im-waldviertel.at/pres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wohnen-im-waldviertel.at"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www.wohnen-im-waldviertel.a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ohnen-im-waldviertel.at/inserieren"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951</Words>
  <Characters>6115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Presseinfo Wohnen im Waldviertel</vt:lpstr>
    </vt:vector>
  </TitlesOfParts>
  <Company>Wallenberger &amp; Linhard Regionalberatung KG</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 Wohnen im Waldviertel</dc:title>
  <dc:subject>Wohnen im Waldviertel</dc:subject>
  <dc:creator>Mag. Nina Sillipp</dc:creator>
  <cp:lastModifiedBy>Nina Sillipp</cp:lastModifiedBy>
  <cp:revision>28</cp:revision>
  <cp:lastPrinted>2025-05-28T12:36:00Z</cp:lastPrinted>
  <dcterms:created xsi:type="dcterms:W3CDTF">2024-08-23T09:56:00Z</dcterms:created>
  <dcterms:modified xsi:type="dcterms:W3CDTF">2025-05-28T13:59:00Z</dcterms:modified>
  <cp:category>Öffentlichkeitsarbeit</cp:category>
</cp:coreProperties>
</file>