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916E" w14:textId="657C480D" w:rsidR="006E1818" w:rsidRPr="00A130DD" w:rsidRDefault="00A130DD" w:rsidP="00E343C3">
      <w:pPr>
        <w:pStyle w:val="Titel"/>
        <w:rPr>
          <w:b w:val="0"/>
        </w:rPr>
      </w:pPr>
      <w:bookmarkStart w:id="0" w:name="_Hlk47620816"/>
      <w:bookmarkEnd w:id="0"/>
      <w:r w:rsidRPr="00A130DD">
        <w:t>Wohnen im Waldviertel – P</w:t>
      </w:r>
      <w:r w:rsidR="0096463C">
        <w:t>RESSE</w:t>
      </w:r>
      <w:r>
        <w:t>INFO</w:t>
      </w:r>
    </w:p>
    <w:p w14:paraId="37C3E5EA" w14:textId="77777777" w:rsidR="00A46DF2" w:rsidRDefault="00A46DF2" w:rsidP="00A130DD">
      <w:pPr>
        <w:tabs>
          <w:tab w:val="left" w:pos="1253"/>
        </w:tabs>
        <w:jc w:val="right"/>
      </w:pPr>
    </w:p>
    <w:p w14:paraId="05820D42" w14:textId="338904FA" w:rsidR="006E1818" w:rsidRDefault="00E5404B" w:rsidP="00A130DD">
      <w:pPr>
        <w:tabs>
          <w:tab w:val="left" w:pos="1253"/>
        </w:tabs>
        <w:jc w:val="right"/>
      </w:pPr>
      <w:r>
        <w:t>Horn</w:t>
      </w:r>
      <w:r w:rsidR="00A130DD">
        <w:t xml:space="preserve">, </w:t>
      </w:r>
      <w:r w:rsidR="004F7138">
        <w:t xml:space="preserve">am </w:t>
      </w:r>
      <w:r w:rsidR="00EB77CC">
        <w:t>2</w:t>
      </w:r>
      <w:r w:rsidR="00DE21B8">
        <w:t>.</w:t>
      </w:r>
      <w:r w:rsidR="000D1C12">
        <w:t xml:space="preserve"> </w:t>
      </w:r>
      <w:r w:rsidR="00EB77CC">
        <w:t>Juni</w:t>
      </w:r>
      <w:r w:rsidR="00396F5D">
        <w:t xml:space="preserve"> </w:t>
      </w:r>
      <w:r w:rsidR="000D1C12">
        <w:t>202</w:t>
      </w:r>
      <w:r w:rsidR="00396F5D">
        <w:t>3</w:t>
      </w:r>
    </w:p>
    <w:p w14:paraId="1389AF5A" w14:textId="60A5BC9C" w:rsidR="00DC63D4" w:rsidRPr="00EB77CC" w:rsidRDefault="00EB77CC" w:rsidP="00183908">
      <w:pPr>
        <w:pStyle w:val="berschrift1"/>
        <w:spacing w:before="480" w:after="0"/>
        <w:rPr>
          <w:sz w:val="30"/>
          <w:szCs w:val="30"/>
        </w:rPr>
      </w:pPr>
      <w:bookmarkStart w:id="1" w:name="_Hlk136532269"/>
      <w:r w:rsidRPr="00EB77CC">
        <w:rPr>
          <w:sz w:val="30"/>
          <w:szCs w:val="30"/>
        </w:rPr>
        <w:t>Auch das Waldviertel verzeichnet Bevölkerungszuwachs</w:t>
      </w:r>
    </w:p>
    <w:p w14:paraId="6ABA2F53" w14:textId="4F8B3E88" w:rsidR="00723E23" w:rsidRDefault="00723E23" w:rsidP="00EB77CC">
      <w:pPr>
        <w:pStyle w:val="StandardWeb"/>
        <w:spacing w:before="0" w:beforeAutospacing="0" w:after="240" w:afterAutospacing="0"/>
        <w:outlineLvl w:val="0"/>
        <w:rPr>
          <w:rFonts w:ascii="Verdana" w:hAnsi="Verdana"/>
          <w:i/>
          <w:color w:val="000000" w:themeColor="text1"/>
          <w:sz w:val="24"/>
        </w:rPr>
      </w:pPr>
      <w:r w:rsidRPr="00723E23">
        <w:rPr>
          <w:rFonts w:ascii="Verdana" w:hAnsi="Verdana"/>
          <w:i/>
          <w:color w:val="000000" w:themeColor="text1"/>
          <w:sz w:val="24"/>
        </w:rPr>
        <w:t xml:space="preserve">Mehr Zuzüge als Wegzüge. </w:t>
      </w:r>
      <w:r>
        <w:rPr>
          <w:rFonts w:ascii="Verdana" w:hAnsi="Verdana"/>
          <w:i/>
          <w:color w:val="000000" w:themeColor="text1"/>
          <w:sz w:val="24"/>
        </w:rPr>
        <w:t xml:space="preserve">Auch auf Bezirksebene. </w:t>
      </w:r>
      <w:r w:rsidRPr="00723E23">
        <w:rPr>
          <w:rFonts w:ascii="Verdana" w:hAnsi="Verdana"/>
          <w:i/>
          <w:color w:val="000000" w:themeColor="text1"/>
          <w:sz w:val="24"/>
        </w:rPr>
        <w:t xml:space="preserve">Trotz negativer Geburtenbilanz </w:t>
      </w:r>
      <w:r w:rsidR="006D50BD">
        <w:rPr>
          <w:rFonts w:ascii="Verdana" w:hAnsi="Verdana"/>
          <w:i/>
          <w:color w:val="000000" w:themeColor="text1"/>
          <w:sz w:val="24"/>
        </w:rPr>
        <w:t>(</w:t>
      </w:r>
      <w:r w:rsidR="006D50BD" w:rsidRPr="00EB77CC">
        <w:rPr>
          <w:rFonts w:ascii="Verdana" w:hAnsi="Verdana"/>
          <w:i/>
          <w:color w:val="000000" w:themeColor="text1"/>
          <w:sz w:val="24"/>
        </w:rPr>
        <w:t>-1.179</w:t>
      </w:r>
      <w:r w:rsidR="006D50BD">
        <w:rPr>
          <w:rFonts w:ascii="Verdana" w:hAnsi="Verdana"/>
          <w:i/>
          <w:color w:val="000000" w:themeColor="text1"/>
          <w:sz w:val="24"/>
        </w:rPr>
        <w:t xml:space="preserve">) </w:t>
      </w:r>
      <w:r w:rsidRPr="00723E23">
        <w:rPr>
          <w:rFonts w:ascii="Verdana" w:hAnsi="Verdana"/>
          <w:i/>
          <w:color w:val="000000" w:themeColor="text1"/>
          <w:sz w:val="24"/>
        </w:rPr>
        <w:t>stieg die Zahl der Bevölkerung um + 804</w:t>
      </w:r>
      <w:r w:rsidR="006D50BD">
        <w:rPr>
          <w:rFonts w:ascii="Verdana" w:hAnsi="Verdana"/>
          <w:i/>
          <w:color w:val="000000" w:themeColor="text1"/>
          <w:sz w:val="24"/>
        </w:rPr>
        <w:t>.</w:t>
      </w:r>
    </w:p>
    <w:p w14:paraId="0A1B9410" w14:textId="77777777" w:rsidR="006D50BD" w:rsidRDefault="000D1C12" w:rsidP="006D50BD">
      <w:r>
        <w:t>W</w:t>
      </w:r>
      <w:r w:rsidR="00203434">
        <w:t>aldviertel (</w:t>
      </w:r>
      <w:r w:rsidR="00EB77CC">
        <w:t>0</w:t>
      </w:r>
      <w:r w:rsidR="00F96A30">
        <w:t>2</w:t>
      </w:r>
      <w:r>
        <w:t>.</w:t>
      </w:r>
      <w:r w:rsidR="00AF34AC">
        <w:t>0</w:t>
      </w:r>
      <w:r w:rsidR="00EB77CC">
        <w:t>6</w:t>
      </w:r>
      <w:r>
        <w:t>.202</w:t>
      </w:r>
      <w:r w:rsidR="006D2B5D">
        <w:t>3</w:t>
      </w:r>
      <w:r w:rsidR="00203434">
        <w:t xml:space="preserve">): </w:t>
      </w:r>
      <w:r w:rsidR="006D50BD">
        <w:t>Am 1. Jänner 2023 lebten 216.454 Menschen in der NUTS3 Region Waldviertel. Das sind um 804 Personen (+3,7 %) mehr als zu Jahresbeginn 2022. Das geht aus den endgültigen Ergebnissen der Bevölkerungsstatistik von Statistik Austria hervor, die gestern (1. Juni 2023) erschienen ist.</w:t>
      </w:r>
    </w:p>
    <w:p w14:paraId="5F0BD233" w14:textId="77777777" w:rsidR="006D50BD" w:rsidRDefault="006D50BD" w:rsidP="006D50BD"/>
    <w:p w14:paraId="00D3E199" w14:textId="69077C5B" w:rsidR="006D50BD" w:rsidRDefault="006D50BD" w:rsidP="006D50BD">
      <w:r>
        <w:t xml:space="preserve">Zwar ist die Geburtenbilanz auf Grund der </w:t>
      </w:r>
      <w:r>
        <w:t>d</w:t>
      </w:r>
      <w:r>
        <w:t>emografischen Entwicklung wie in vielen Regionen Österreichs negativ, dennoch wuchs die Bevölkerung in allen Bezirken außer Gmünd auch gesamt betrachtet (Tabelle nachstehend). Der Grund dafür ist die positive Wanderungsbilanz. Es zogen im Vorjahr in allen Bezirken der Region sowie in der Stadt Krems mehr Menschen zu als weg.</w:t>
      </w:r>
    </w:p>
    <w:p w14:paraId="4FCCA93D" w14:textId="77777777" w:rsidR="00BA1728" w:rsidRDefault="00BA1728" w:rsidP="00EB77CC"/>
    <w:p w14:paraId="20EB6E1F" w14:textId="77777777" w:rsidR="00D96865" w:rsidRDefault="00D96865" w:rsidP="00D96865">
      <w:pPr>
        <w:rPr>
          <w:b/>
          <w:bCs/>
        </w:rPr>
      </w:pPr>
      <w:r>
        <w:rPr>
          <w:b/>
          <w:bCs/>
        </w:rPr>
        <w:t>Das Waldviertel ist keine Abwanderungsregion</w:t>
      </w:r>
    </w:p>
    <w:p w14:paraId="03499C37" w14:textId="77777777" w:rsidR="006D50BD" w:rsidRDefault="006D50BD" w:rsidP="006D50BD">
      <w:r>
        <w:t xml:space="preserve">Der Trend setzt sich fort. Immer mehr Menschen wählen das Waldviertel als Hauptwohnsitz. In den Bezirken Horn und Waidhofen an der Thaya sowie in der Stadt Krems war nicht nur das insgesamte Wanderungssaldo, sondern auch jenes der Binnenwanderung positiv. </w:t>
      </w:r>
    </w:p>
    <w:p w14:paraId="61239B65" w14:textId="77777777" w:rsidR="006D50BD" w:rsidRDefault="006D50BD" w:rsidP="006D50BD"/>
    <w:p w14:paraId="0579B26F" w14:textId="48724DB9" w:rsidR="006D50BD" w:rsidRDefault="006D50BD" w:rsidP="006D50BD">
      <w:r>
        <w:t>I</w:t>
      </w:r>
      <w:r>
        <w:t xml:space="preserve">n der Region </w:t>
      </w:r>
      <w:r>
        <w:t xml:space="preserve">Waldviertel kam das positive Wanderungssaldo nicht ausschließlich durch die Zuwanderung aus dem Ausland zustande, sondern auch durch Zuzug aus dem Inland. Selbst wenn man den krisenbedingten Zuzug aus der Ukraine </w:t>
      </w:r>
      <w:r>
        <w:t>herausrechnen würde,</w:t>
      </w:r>
      <w:r>
        <w:t xml:space="preserve"> bleibt die Wanderungsbilanz positiv. </w:t>
      </w:r>
    </w:p>
    <w:p w14:paraId="3782EB08" w14:textId="77777777" w:rsidR="006D50BD" w:rsidRDefault="006D50BD" w:rsidP="006D50BD"/>
    <w:p w14:paraId="28BF0ECA" w14:textId="41177270" w:rsidR="006D50BD" w:rsidRDefault="006D50BD" w:rsidP="006D50BD">
      <w:r>
        <w:t>Innerhalb Österreichs kamen die meisten Zuzüge aus den NUTS3-Regionen Wien, St. Pölten und Wiener Umland-Nordteil.</w:t>
      </w:r>
    </w:p>
    <w:p w14:paraId="44A71348" w14:textId="32683F62" w:rsidR="006D50BD" w:rsidRDefault="006D50BD" w:rsidP="006D50BD">
      <w:r>
        <w:t xml:space="preserve">Beim Zuzug von außerhalb Österreichs kamen die </w:t>
      </w:r>
      <w:r>
        <w:t>m</w:t>
      </w:r>
      <w:r>
        <w:t>eisten aus der Ukraine. Platz 2 belegt Rumänien</w:t>
      </w:r>
      <w:r w:rsidR="00333D1A">
        <w:t xml:space="preserve">, </w:t>
      </w:r>
      <w:r>
        <w:t>Platz 3 Deutschland.</w:t>
      </w:r>
    </w:p>
    <w:p w14:paraId="589B77F6" w14:textId="77777777" w:rsidR="006D50BD" w:rsidRDefault="006D50BD" w:rsidP="006D50BD"/>
    <w:p w14:paraId="5F560B28" w14:textId="005D0F4D" w:rsidR="006D50BD" w:rsidRDefault="006D50BD" w:rsidP="006D50BD">
      <w:r>
        <w:t xml:space="preserve">Auch auf Gemeindeebene verzeichnen alle 56 Projektgemeinden von „Wohnen im Waldviertel“ ein positives Wanderungssaldo. </w:t>
      </w:r>
    </w:p>
    <w:p w14:paraId="692331DB" w14:textId="02F6E1DD" w:rsidR="006D50BD" w:rsidRDefault="006D50BD" w:rsidP="006D50BD">
      <w:r>
        <w:t>Bei der Hälfte dieser Gemeinden ist auch die Bevölkerungszahl gesamt betrachtet gewachsen.</w:t>
      </w:r>
    </w:p>
    <w:p w14:paraId="59BDFB9C" w14:textId="77777777" w:rsidR="00723E23" w:rsidRDefault="00723E23" w:rsidP="00EB77CC"/>
    <w:p w14:paraId="45A9B556" w14:textId="1084EA01" w:rsidR="00BA1728" w:rsidRPr="00D3422A" w:rsidRDefault="00BA1728" w:rsidP="00EB77CC">
      <w:pPr>
        <w:rPr>
          <w:b/>
          <w:bCs/>
        </w:rPr>
      </w:pPr>
      <w:r w:rsidRPr="00D3422A">
        <w:rPr>
          <w:b/>
          <w:bCs/>
        </w:rPr>
        <w:t>Zuzug bleibt wichtig!</w:t>
      </w:r>
    </w:p>
    <w:p w14:paraId="0322B101" w14:textId="77777777" w:rsidR="00E11E86" w:rsidRDefault="00E11E86" w:rsidP="00E11E86">
      <w:r>
        <w:t xml:space="preserve">Der Verein Interkomm setzt sich bereits seit 2008 dafür ein, Menschen für das Wohnen und Arbeiten im Waldviertel zu begeistern. Um die Bevölkerung im Waldviertel zu stabilisieren, braucht es weiterhin Bemühungen in diese Richtung. </w:t>
      </w:r>
    </w:p>
    <w:p w14:paraId="64ED16E1" w14:textId="0A3A94D1" w:rsidR="00E11E86" w:rsidRDefault="00E11E86" w:rsidP="00E11E86">
      <w:r>
        <w:t>Obmann Bgm. Martin Bruckner, Vertreter des Vereines, weist immer wieder drauf hin: „Zuzug bleibt wichtig für das Waldviertel! Ohne Zuzug würde unsere Bevölkerung – wie jene i</w:t>
      </w:r>
      <w:r>
        <w:t>m</w:t>
      </w:r>
      <w:r>
        <w:t xml:space="preserve"> gesamten österreichischen Bundesgebiet – immer weiter schrumpfen. Das hätte verheerende Folgen </w:t>
      </w:r>
      <w:r>
        <w:t xml:space="preserve">- </w:t>
      </w:r>
      <w:r>
        <w:t>nicht nur für die Infrastruktur, die wir nicht mehr erhalten könnten, sondern auch für das gesamte soziale Leben im Waldviertel.</w:t>
      </w:r>
    </w:p>
    <w:p w14:paraId="5B5F0FDD" w14:textId="77777777" w:rsidR="00E11E86" w:rsidRDefault="00E11E86" w:rsidP="00723E23"/>
    <w:p w14:paraId="21AD435A" w14:textId="5D200307" w:rsidR="00EB77CC" w:rsidRPr="000808E5" w:rsidRDefault="000808E5" w:rsidP="00EB77CC">
      <w:pPr>
        <w:rPr>
          <w:b/>
          <w:bCs/>
        </w:rPr>
      </w:pPr>
      <w:r w:rsidRPr="000808E5">
        <w:rPr>
          <w:b/>
          <w:bCs/>
        </w:rPr>
        <w:t>Die Initiative „Wohnen im Waldviertel“ seit 2008 aktiv</w:t>
      </w:r>
    </w:p>
    <w:p w14:paraId="0498BE00" w14:textId="77777777" w:rsidR="00E11E86" w:rsidRDefault="00E11E86" w:rsidP="00E11E86">
      <w:r>
        <w:t xml:space="preserve">„Wohnen im Waldviertel“ ist eine Kampagne, um Zuzug und Rückkehr zu fördern und Abwanderung zu bremsen. Die gemeinsame Webseite </w:t>
      </w:r>
      <w:r w:rsidRPr="00E11E86">
        <w:rPr>
          <w:b/>
          <w:bCs/>
        </w:rPr>
        <w:t>www.wohnen-im-waldviertel.at</w:t>
      </w:r>
      <w:r>
        <w:t xml:space="preserve"> gibt unzählige </w:t>
      </w:r>
      <w:r w:rsidRPr="00E11E86">
        <w:rPr>
          <w:b/>
          <w:bCs/>
        </w:rPr>
        <w:t>Antworten</w:t>
      </w:r>
      <w:r>
        <w:t xml:space="preserve"> auf </w:t>
      </w:r>
      <w:r w:rsidRPr="00E11E86">
        <w:rPr>
          <w:b/>
          <w:bCs/>
        </w:rPr>
        <w:t xml:space="preserve">Fragen zum Wohnen, Arbeiten und Leben in der Region </w:t>
      </w:r>
      <w:r>
        <w:t>und zu verfügbaren Objekten und Baugründen.</w:t>
      </w:r>
    </w:p>
    <w:p w14:paraId="7A122057" w14:textId="77777777" w:rsidR="00E11E86" w:rsidRDefault="00E11E86" w:rsidP="00E11E86"/>
    <w:p w14:paraId="3987128B" w14:textId="3F224900" w:rsidR="00E11E86" w:rsidRDefault="00E11E86" w:rsidP="00E11E86">
      <w:r>
        <w:t xml:space="preserve">Seit 2009 sind </w:t>
      </w:r>
      <w:r w:rsidRPr="00E11E86">
        <w:rPr>
          <w:b/>
          <w:bCs/>
        </w:rPr>
        <w:t>72.000 Menschen ins Waldviertel zugezogen</w:t>
      </w:r>
      <w:r>
        <w:t>, um hier ihren Hauptwohnsitz zu gründen. Im letzten Jahr (zwischen 2022 und 2023) ist die Bevölkerung um 804 Personen gewachsen und zählt nun 216.454 Hauptwohnsitze</w:t>
      </w:r>
      <w:r>
        <w:rPr>
          <w:rStyle w:val="Funotenzeichen"/>
        </w:rPr>
        <w:footnoteReference w:id="1"/>
      </w:r>
      <w:r>
        <w:t>.</w:t>
      </w:r>
    </w:p>
    <w:p w14:paraId="7372856C" w14:textId="77777777" w:rsidR="00E11E86" w:rsidRDefault="00E11E86" w:rsidP="00E11E86">
      <w:r>
        <w:t xml:space="preserve">Das sind gute Entwicklungen, aber </w:t>
      </w:r>
      <w:r w:rsidRPr="00E11E86">
        <w:rPr>
          <w:b/>
          <w:bCs/>
        </w:rPr>
        <w:t>die Arbeit bleibt</w:t>
      </w:r>
      <w:r>
        <w:t xml:space="preserve"> weiterhin wichtig und wertvoll damit sich dieser Trend fortsetzt! </w:t>
      </w:r>
    </w:p>
    <w:p w14:paraId="58A32E6B" w14:textId="2157564D" w:rsidR="00E11E86" w:rsidRDefault="00E11E86">
      <w:pPr>
        <w:spacing w:line="240" w:lineRule="auto"/>
      </w:pPr>
      <w:r>
        <w:br w:type="page"/>
      </w:r>
    </w:p>
    <w:p w14:paraId="2E967E86" w14:textId="77777777" w:rsidR="006D2B5D" w:rsidRDefault="006D2B5D" w:rsidP="006D2B5D"/>
    <w:bookmarkEnd w:id="1"/>
    <w:p w14:paraId="243FF26B" w14:textId="77777777" w:rsidR="00894C91" w:rsidRPr="000000A8" w:rsidRDefault="00894C91" w:rsidP="005802A3">
      <w:pPr>
        <w:rPr>
          <w:sz w:val="10"/>
          <w:szCs w:val="10"/>
        </w:rPr>
      </w:pPr>
    </w:p>
    <w:p w14:paraId="1B5E2274" w14:textId="77777777" w:rsidR="005802A3" w:rsidRPr="000000A8" w:rsidRDefault="005802A3" w:rsidP="005802A3">
      <w:pPr>
        <w:pBdr>
          <w:top w:val="single" w:sz="4" w:space="1" w:color="auto"/>
        </w:pBdr>
        <w:tabs>
          <w:tab w:val="left" w:pos="1253"/>
        </w:tabs>
        <w:rPr>
          <w:sz w:val="10"/>
          <w:szCs w:val="10"/>
        </w:rPr>
      </w:pPr>
    </w:p>
    <w:p w14:paraId="5983F6EE" w14:textId="40877D68" w:rsidR="008C73D4" w:rsidRDefault="008C73D4" w:rsidP="005802A3">
      <w:pPr>
        <w:rPr>
          <w:b/>
        </w:rPr>
      </w:pPr>
      <w:r>
        <w:rPr>
          <w:b/>
        </w:rPr>
        <w:t>Foto</w:t>
      </w:r>
      <w:r w:rsidR="000000A8">
        <w:rPr>
          <w:b/>
        </w:rPr>
        <w:t>s</w:t>
      </w:r>
      <w:r w:rsidR="00306831">
        <w:rPr>
          <w:b/>
        </w:rPr>
        <w:t xml:space="preserve"> </w:t>
      </w:r>
      <w:r>
        <w:rPr>
          <w:b/>
        </w:rPr>
        <w:t>zu Ihrer Verwendung:</w:t>
      </w:r>
    </w:p>
    <w:p w14:paraId="07D823C0" w14:textId="77777777" w:rsidR="00DD0686" w:rsidRDefault="00DD0686" w:rsidP="00AB20D7">
      <w:pPr>
        <w:tabs>
          <w:tab w:val="left" w:pos="1253"/>
        </w:tabs>
        <w:rPr>
          <w:b/>
          <w:sz w:val="18"/>
          <w:szCs w:val="18"/>
        </w:rPr>
      </w:pPr>
      <w:r>
        <w:rPr>
          <w:noProof/>
        </w:rPr>
        <w:lastRenderedPageBreak/>
        <w:drawing>
          <wp:inline distT="0" distB="0" distL="0" distR="0" wp14:anchorId="2120EAF1" wp14:editId="39647860">
            <wp:extent cx="3960000" cy="1783725"/>
            <wp:effectExtent l="0" t="0" r="2540" b="6985"/>
            <wp:docPr id="1439922826" name="Grafik 1" descr="Ein Bild, das Kleidung, Person, Anzu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22826" name="Grafik 1" descr="Ein Bild, das Kleidung, Person, Anzug, Lächel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0000" cy="1783725"/>
                    </a:xfrm>
                    <a:prstGeom prst="rect">
                      <a:avLst/>
                    </a:prstGeom>
                    <a:noFill/>
                    <a:ln>
                      <a:noFill/>
                    </a:ln>
                  </pic:spPr>
                </pic:pic>
              </a:graphicData>
            </a:graphic>
          </wp:inline>
        </w:drawing>
      </w:r>
    </w:p>
    <w:p w14:paraId="197893DF" w14:textId="738889C9" w:rsidR="0015496D" w:rsidRDefault="005E6EF2" w:rsidP="00AB20D7">
      <w:pPr>
        <w:tabs>
          <w:tab w:val="left" w:pos="1253"/>
        </w:tabs>
        <w:rPr>
          <w:sz w:val="18"/>
          <w:szCs w:val="18"/>
        </w:rPr>
      </w:pPr>
      <w:proofErr w:type="spellStart"/>
      <w:r w:rsidRPr="005E6EF2">
        <w:rPr>
          <w:b/>
          <w:sz w:val="18"/>
          <w:szCs w:val="18"/>
        </w:rPr>
        <w:t>Foto</w:t>
      </w:r>
      <w:r w:rsidR="00DD0686">
        <w:rPr>
          <w:b/>
          <w:sz w:val="18"/>
          <w:szCs w:val="18"/>
        </w:rPr>
        <w:t>text</w:t>
      </w:r>
      <w:proofErr w:type="spellEnd"/>
      <w:r w:rsidRPr="005E6EF2">
        <w:rPr>
          <w:b/>
          <w:sz w:val="18"/>
          <w:szCs w:val="18"/>
        </w:rPr>
        <w:t>:</w:t>
      </w:r>
      <w:r w:rsidRPr="005E6EF2">
        <w:rPr>
          <w:sz w:val="18"/>
          <w:szCs w:val="18"/>
        </w:rPr>
        <w:t xml:space="preserve"> </w:t>
      </w:r>
      <w:r w:rsidR="00DD0686">
        <w:rPr>
          <w:sz w:val="18"/>
          <w:szCs w:val="18"/>
        </w:rPr>
        <w:t xml:space="preserve">Der Verein Interkomm vertritt 60 </w:t>
      </w:r>
      <w:r w:rsidR="0015496D">
        <w:rPr>
          <w:sz w:val="18"/>
          <w:szCs w:val="18"/>
        </w:rPr>
        <w:t>Mitgliedsg</w:t>
      </w:r>
      <w:r w:rsidR="00DD0686">
        <w:rPr>
          <w:sz w:val="18"/>
          <w:szCs w:val="18"/>
        </w:rPr>
        <w:t xml:space="preserve">emeinden des Waldviertels und kümmert sich um </w:t>
      </w:r>
      <w:r w:rsidR="0015496D">
        <w:rPr>
          <w:sz w:val="18"/>
          <w:szCs w:val="18"/>
        </w:rPr>
        <w:t xml:space="preserve">Zukunftsthemen der Region. </w:t>
      </w:r>
    </w:p>
    <w:p w14:paraId="5743E10C" w14:textId="77777777" w:rsidR="0015496D" w:rsidRDefault="0015496D" w:rsidP="00AB20D7">
      <w:pPr>
        <w:tabs>
          <w:tab w:val="left" w:pos="1253"/>
        </w:tabs>
        <w:rPr>
          <w:sz w:val="18"/>
          <w:szCs w:val="18"/>
        </w:rPr>
      </w:pPr>
    </w:p>
    <w:p w14:paraId="66ABF419" w14:textId="2AE11F40" w:rsidR="00DD0686" w:rsidRDefault="00A96623" w:rsidP="00AB20D7">
      <w:pPr>
        <w:tabs>
          <w:tab w:val="left" w:pos="1253"/>
        </w:tabs>
        <w:rPr>
          <w:sz w:val="18"/>
          <w:szCs w:val="18"/>
        </w:rPr>
      </w:pPr>
      <w:r>
        <w:rPr>
          <w:sz w:val="18"/>
          <w:szCs w:val="18"/>
        </w:rPr>
        <w:t xml:space="preserve">Vertreten wird der Verein </w:t>
      </w:r>
      <w:r w:rsidR="0015496D">
        <w:rPr>
          <w:sz w:val="18"/>
          <w:szCs w:val="18"/>
        </w:rPr>
        <w:t>von einem großen Vorstandsteam.</w:t>
      </w:r>
    </w:p>
    <w:p w14:paraId="4A68D16E" w14:textId="3C272216" w:rsidR="00A96623" w:rsidRDefault="0015496D" w:rsidP="00AB20D7">
      <w:pPr>
        <w:tabs>
          <w:tab w:val="left" w:pos="1253"/>
        </w:tabs>
        <w:rPr>
          <w:sz w:val="18"/>
          <w:szCs w:val="18"/>
        </w:rPr>
      </w:pPr>
      <w:r>
        <w:rPr>
          <w:sz w:val="18"/>
          <w:szCs w:val="18"/>
        </w:rPr>
        <w:t xml:space="preserve">Am Foto </w:t>
      </w:r>
      <w:r w:rsidR="00DD0686">
        <w:rPr>
          <w:sz w:val="18"/>
          <w:szCs w:val="18"/>
        </w:rPr>
        <w:t xml:space="preserve">11 der insgesamt 18 Vorstandsmitglieder </w:t>
      </w:r>
      <w:r>
        <w:rPr>
          <w:sz w:val="18"/>
          <w:szCs w:val="18"/>
        </w:rPr>
        <w:t xml:space="preserve">mit </w:t>
      </w:r>
      <w:proofErr w:type="spellStart"/>
      <w:proofErr w:type="gramStart"/>
      <w:r>
        <w:rPr>
          <w:sz w:val="18"/>
          <w:szCs w:val="18"/>
        </w:rPr>
        <w:t>Vertreter:innen</w:t>
      </w:r>
      <w:proofErr w:type="spellEnd"/>
      <w:proofErr w:type="gramEnd"/>
      <w:r>
        <w:rPr>
          <w:sz w:val="18"/>
          <w:szCs w:val="18"/>
        </w:rPr>
        <w:t xml:space="preserve"> der </w:t>
      </w:r>
      <w:r w:rsidR="00DD0686">
        <w:rPr>
          <w:sz w:val="18"/>
          <w:szCs w:val="18"/>
        </w:rPr>
        <w:t>Wallenberger &amp; Linhard Regionalberatung</w:t>
      </w:r>
      <w:r w:rsidR="005719B9">
        <w:rPr>
          <w:sz w:val="18"/>
          <w:szCs w:val="18"/>
        </w:rPr>
        <w:t xml:space="preserve"> (Projektpartner)</w:t>
      </w:r>
      <w:r w:rsidR="00DD0686">
        <w:rPr>
          <w:sz w:val="18"/>
          <w:szCs w:val="18"/>
        </w:rPr>
        <w:t xml:space="preserve">: </w:t>
      </w:r>
    </w:p>
    <w:p w14:paraId="0D46E16F" w14:textId="77777777" w:rsidR="00A96623" w:rsidRDefault="00A96623" w:rsidP="00AB20D7">
      <w:pPr>
        <w:tabs>
          <w:tab w:val="left" w:pos="1253"/>
        </w:tabs>
        <w:rPr>
          <w:sz w:val="18"/>
          <w:szCs w:val="18"/>
        </w:rPr>
      </w:pPr>
    </w:p>
    <w:p w14:paraId="44A76677" w14:textId="32374460" w:rsidR="00DD0686" w:rsidRDefault="00DD0686" w:rsidP="00AB20D7">
      <w:pPr>
        <w:tabs>
          <w:tab w:val="left" w:pos="1253"/>
        </w:tabs>
        <w:rPr>
          <w:sz w:val="18"/>
          <w:szCs w:val="18"/>
        </w:rPr>
      </w:pPr>
      <w:r>
        <w:rPr>
          <w:sz w:val="18"/>
          <w:szCs w:val="18"/>
        </w:rPr>
        <w:t xml:space="preserve">V.l.n.r.: Regionalberater Josef Wallenberger, </w:t>
      </w:r>
      <w:proofErr w:type="spellStart"/>
      <w:r>
        <w:rPr>
          <w:sz w:val="18"/>
          <w:szCs w:val="18"/>
        </w:rPr>
        <w:t>Vbgm</w:t>
      </w:r>
      <w:proofErr w:type="spellEnd"/>
      <w:r>
        <w:rPr>
          <w:sz w:val="18"/>
          <w:szCs w:val="18"/>
        </w:rPr>
        <w:t xml:space="preserve">. Werner </w:t>
      </w:r>
      <w:proofErr w:type="spellStart"/>
      <w:r>
        <w:rPr>
          <w:sz w:val="18"/>
          <w:szCs w:val="18"/>
        </w:rPr>
        <w:t>Scheidl</w:t>
      </w:r>
      <w:proofErr w:type="spellEnd"/>
      <w:r>
        <w:rPr>
          <w:sz w:val="18"/>
          <w:szCs w:val="18"/>
        </w:rPr>
        <w:t xml:space="preserve"> (Göpfritz </w:t>
      </w:r>
      <w:proofErr w:type="spellStart"/>
      <w:r>
        <w:rPr>
          <w:sz w:val="18"/>
          <w:szCs w:val="18"/>
        </w:rPr>
        <w:t>a.d.</w:t>
      </w:r>
      <w:proofErr w:type="spellEnd"/>
      <w:r>
        <w:rPr>
          <w:sz w:val="18"/>
          <w:szCs w:val="18"/>
        </w:rPr>
        <w:t xml:space="preserve"> Wild), Obmann Bgm. Martin Bruckner (Großschönau), Bgm. Roland Datler (Gastern), Bgm. Ulrich Achleitner (Groß-Siegharts), Bgm. Anette Töpfl (Vitis), Bgm. Karl Elsigan (Schwarzenau), Bgm. Helga </w:t>
      </w:r>
      <w:proofErr w:type="spellStart"/>
      <w:r>
        <w:rPr>
          <w:sz w:val="18"/>
          <w:szCs w:val="18"/>
        </w:rPr>
        <w:t>Rosenmayer</w:t>
      </w:r>
      <w:proofErr w:type="spellEnd"/>
      <w:r>
        <w:rPr>
          <w:sz w:val="18"/>
          <w:szCs w:val="18"/>
        </w:rPr>
        <w:t xml:space="preserve"> (Gmünd), Bgm. Günter Schalko (</w:t>
      </w:r>
      <w:proofErr w:type="spellStart"/>
      <w:r>
        <w:rPr>
          <w:sz w:val="18"/>
          <w:szCs w:val="18"/>
        </w:rPr>
        <w:t>Eisgarn</w:t>
      </w:r>
      <w:proofErr w:type="spellEnd"/>
      <w:r>
        <w:rPr>
          <w:sz w:val="18"/>
          <w:szCs w:val="18"/>
        </w:rPr>
        <w:t>), Regionalberaterin Nina Sillipp, Bgm. Josef Schaden (</w:t>
      </w:r>
      <w:proofErr w:type="spellStart"/>
      <w:r>
        <w:rPr>
          <w:sz w:val="18"/>
          <w:szCs w:val="18"/>
        </w:rPr>
        <w:t>Schweiggers</w:t>
      </w:r>
      <w:proofErr w:type="spellEnd"/>
      <w:r>
        <w:rPr>
          <w:sz w:val="18"/>
          <w:szCs w:val="18"/>
        </w:rPr>
        <w:t xml:space="preserve">), Bgm. Niko Reisel (Meiseldorf) und Amtsleiter Ernst Mischling (Weitersfeld) </w:t>
      </w:r>
    </w:p>
    <w:p w14:paraId="673AA7EF" w14:textId="38E858E7" w:rsidR="00DD0686" w:rsidRDefault="00DD0686" w:rsidP="00AB20D7">
      <w:pPr>
        <w:tabs>
          <w:tab w:val="left" w:pos="1253"/>
        </w:tabs>
        <w:rPr>
          <w:sz w:val="18"/>
          <w:szCs w:val="18"/>
        </w:rPr>
      </w:pPr>
      <w:r>
        <w:rPr>
          <w:sz w:val="18"/>
          <w:szCs w:val="18"/>
        </w:rPr>
        <w:t>© Verein Interkomm</w:t>
      </w:r>
    </w:p>
    <w:p w14:paraId="1C703BC1" w14:textId="77777777" w:rsidR="00DD0686" w:rsidRDefault="00DD0686" w:rsidP="00AB20D7">
      <w:pPr>
        <w:tabs>
          <w:tab w:val="left" w:pos="1253"/>
        </w:tabs>
        <w:rPr>
          <w:sz w:val="18"/>
          <w:szCs w:val="18"/>
        </w:rPr>
      </w:pPr>
    </w:p>
    <w:p w14:paraId="2D3F2AD8" w14:textId="1010D36B" w:rsidR="001C0FEE" w:rsidRDefault="00E70F08" w:rsidP="00AB20D7">
      <w:pPr>
        <w:tabs>
          <w:tab w:val="left" w:pos="1253"/>
        </w:tabs>
        <w:rPr>
          <w:sz w:val="18"/>
          <w:szCs w:val="18"/>
        </w:rPr>
      </w:pPr>
      <w:r>
        <w:rPr>
          <w:noProof/>
        </w:rPr>
        <w:drawing>
          <wp:inline distT="0" distB="0" distL="0" distR="0" wp14:anchorId="79F25A0D" wp14:editId="37B15A7B">
            <wp:extent cx="1440000" cy="572624"/>
            <wp:effectExtent l="19050" t="19050" r="27305" b="18415"/>
            <wp:docPr id="6" name="Grafik 6"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Logo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572624"/>
                    </a:xfrm>
                    <a:prstGeom prst="rect">
                      <a:avLst/>
                    </a:prstGeom>
                    <a:noFill/>
                    <a:ln w="3175">
                      <a:solidFill>
                        <a:schemeClr val="accent3">
                          <a:lumMod val="50000"/>
                        </a:schemeClr>
                      </a:solidFill>
                    </a:ln>
                  </pic:spPr>
                </pic:pic>
              </a:graphicData>
            </a:graphic>
          </wp:inline>
        </w:drawing>
      </w:r>
    </w:p>
    <w:p w14:paraId="308E5902" w14:textId="77777777" w:rsidR="005719B9" w:rsidRDefault="001C0FEE" w:rsidP="00AB20D7">
      <w:pPr>
        <w:tabs>
          <w:tab w:val="left" w:pos="1253"/>
        </w:tabs>
        <w:rPr>
          <w:sz w:val="18"/>
          <w:szCs w:val="18"/>
        </w:rPr>
      </w:pPr>
      <w:r>
        <w:rPr>
          <w:b/>
          <w:bCs/>
          <w:sz w:val="18"/>
          <w:szCs w:val="18"/>
        </w:rPr>
        <w:t xml:space="preserve">Logo: </w:t>
      </w:r>
      <w:r w:rsidR="005719B9">
        <w:rPr>
          <w:sz w:val="18"/>
          <w:szCs w:val="18"/>
        </w:rPr>
        <w:t>Wohnen im Waldviertel – Wo das Leben neu beginnt!</w:t>
      </w:r>
    </w:p>
    <w:p w14:paraId="20969D9B" w14:textId="77777777" w:rsidR="005719B9" w:rsidRDefault="005719B9" w:rsidP="00AB20D7">
      <w:pPr>
        <w:tabs>
          <w:tab w:val="left" w:pos="1253"/>
        </w:tabs>
        <w:rPr>
          <w:sz w:val="18"/>
          <w:szCs w:val="18"/>
        </w:rPr>
      </w:pPr>
    </w:p>
    <w:p w14:paraId="0D322F9F" w14:textId="3F0320A6" w:rsidR="001C0FEE" w:rsidRDefault="001C0FEE" w:rsidP="00AB20D7">
      <w:pPr>
        <w:tabs>
          <w:tab w:val="left" w:pos="1253"/>
        </w:tabs>
        <w:rPr>
          <w:sz w:val="18"/>
          <w:szCs w:val="18"/>
        </w:rPr>
      </w:pPr>
      <w:r>
        <w:rPr>
          <w:noProof/>
        </w:rPr>
        <w:drawing>
          <wp:inline distT="0" distB="0" distL="0" distR="0" wp14:anchorId="1D047FE2" wp14:editId="5CBC8FEF">
            <wp:extent cx="720000" cy="72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37ED40D5" w14:textId="21D5A0B4" w:rsidR="001C0FEE" w:rsidRDefault="001C0FEE" w:rsidP="001C0FEE">
      <w:pPr>
        <w:tabs>
          <w:tab w:val="left" w:pos="1253"/>
        </w:tabs>
        <w:rPr>
          <w:sz w:val="18"/>
          <w:szCs w:val="18"/>
        </w:rPr>
      </w:pPr>
      <w:r>
        <w:rPr>
          <w:b/>
          <w:bCs/>
          <w:sz w:val="18"/>
          <w:szCs w:val="18"/>
        </w:rPr>
        <w:t xml:space="preserve">Hinweis: </w:t>
      </w:r>
      <w:r>
        <w:rPr>
          <w:sz w:val="18"/>
          <w:szCs w:val="18"/>
        </w:rPr>
        <w:t>2023</w:t>
      </w:r>
      <w:r w:rsidRPr="001C0FEE">
        <w:rPr>
          <w:sz w:val="18"/>
          <w:szCs w:val="18"/>
        </w:rPr>
        <w:t xml:space="preserve"> feiert das Projekt „Wohnen im Waldviertel“ des Vereines Interkomm sein 15-jähriges Jubiläum. 15 Jahre Erfahrung, von der jede Mitgliedsgemeinde und deren </w:t>
      </w:r>
      <w:proofErr w:type="spellStart"/>
      <w:proofErr w:type="gramStart"/>
      <w:r w:rsidRPr="001C0FEE">
        <w:rPr>
          <w:sz w:val="18"/>
          <w:szCs w:val="18"/>
        </w:rPr>
        <w:t>Bewohner:innen</w:t>
      </w:r>
      <w:proofErr w:type="spellEnd"/>
      <w:proofErr w:type="gramEnd"/>
      <w:r w:rsidRPr="001C0FEE">
        <w:rPr>
          <w:sz w:val="18"/>
          <w:szCs w:val="18"/>
        </w:rPr>
        <w:t xml:space="preserve"> profitieren</w:t>
      </w:r>
      <w:r>
        <w:rPr>
          <w:sz w:val="18"/>
          <w:szCs w:val="18"/>
        </w:rPr>
        <w:t xml:space="preserve">. </w:t>
      </w:r>
      <w:r w:rsidRPr="005E6EF2">
        <w:rPr>
          <w:sz w:val="18"/>
          <w:szCs w:val="18"/>
        </w:rPr>
        <w:t>©</w:t>
      </w:r>
      <w:r>
        <w:rPr>
          <w:sz w:val="18"/>
          <w:szCs w:val="18"/>
        </w:rPr>
        <w:t xml:space="preserve"> Verein Interkomm</w:t>
      </w:r>
    </w:p>
    <w:p w14:paraId="205C22E0" w14:textId="77777777" w:rsidR="00AB20D7" w:rsidRPr="000000A8" w:rsidRDefault="00AB20D7" w:rsidP="005E6EF2">
      <w:pPr>
        <w:tabs>
          <w:tab w:val="left" w:pos="1253"/>
        </w:tabs>
        <w:rPr>
          <w:sz w:val="10"/>
          <w:szCs w:val="10"/>
        </w:rPr>
      </w:pPr>
    </w:p>
    <w:p w14:paraId="0BD2317A" w14:textId="77777777" w:rsidR="005E6EF2" w:rsidRPr="000000A8" w:rsidRDefault="005E6EF2" w:rsidP="005E6EF2">
      <w:pPr>
        <w:pBdr>
          <w:top w:val="single" w:sz="4" w:space="1" w:color="auto"/>
        </w:pBdr>
        <w:tabs>
          <w:tab w:val="left" w:pos="1253"/>
        </w:tabs>
        <w:rPr>
          <w:sz w:val="10"/>
          <w:szCs w:val="10"/>
        </w:rPr>
      </w:pPr>
    </w:p>
    <w:p w14:paraId="19C0C0EE" w14:textId="77777777" w:rsidR="005E6EF2" w:rsidRPr="007329E6" w:rsidRDefault="005E6EF2" w:rsidP="005E6EF2">
      <w:pPr>
        <w:tabs>
          <w:tab w:val="left" w:pos="1253"/>
        </w:tabs>
        <w:rPr>
          <w:b/>
          <w:i/>
          <w:iCs/>
          <w:sz w:val="24"/>
          <w:szCs w:val="24"/>
        </w:rPr>
      </w:pPr>
      <w:r w:rsidRPr="007329E6">
        <w:rPr>
          <w:b/>
          <w:i/>
          <w:iCs/>
          <w:sz w:val="24"/>
          <w:szCs w:val="24"/>
        </w:rPr>
        <w:lastRenderedPageBreak/>
        <w:t>Kurzinfo zum Projekt „Wohnen im Waldviertel“</w:t>
      </w:r>
    </w:p>
    <w:p w14:paraId="6CBAB003" w14:textId="74DDDC0E" w:rsidR="00A7640E" w:rsidRDefault="00A7640E" w:rsidP="00A7640E">
      <w:pPr>
        <w:rPr>
          <w:rStyle w:val="Hyperlink"/>
        </w:rPr>
      </w:pPr>
      <w:r>
        <w:t xml:space="preserve">„Wohnen im Waldviertel“ ist eine Initiative des Vereines Interkomm, die von 56 Mitgliedsgemeinden und </w:t>
      </w:r>
      <w:r w:rsidR="00BB7885">
        <w:t xml:space="preserve">den </w:t>
      </w:r>
      <w:r>
        <w:t>Projektpartner</w:t>
      </w:r>
      <w:r w:rsidR="00BB7885">
        <w:t xml:space="preserve">n </w:t>
      </w:r>
      <w:r w:rsidR="00BB7885" w:rsidRPr="00BB7885">
        <w:t>HARTL HAUS, IV NÖ, KASTNER</w:t>
      </w:r>
      <w:r w:rsidR="00BB7885">
        <w:t xml:space="preserve"> Gruppe</w:t>
      </w:r>
      <w:r w:rsidR="00BB7885" w:rsidRPr="00BB7885">
        <w:t xml:space="preserve">, WAV und das Wirtschaftsforum Waldviertel. Das dadurch entstandene Netzwerk macht vieles möglich. </w:t>
      </w:r>
      <w:r>
        <w:t xml:space="preserve"> seit 2009 umgesetzt wird. </w:t>
      </w:r>
      <w:r w:rsidR="00BB7885">
        <w:t xml:space="preserve">Finanziell unterstützt wird das Projekt vom Land Niederösterreich sowie von Raiffeisen im Waldviertel und in Wien. </w:t>
      </w:r>
      <w:r>
        <w:t xml:space="preserve">Klares Ziel sind mehr </w:t>
      </w:r>
      <w:proofErr w:type="spellStart"/>
      <w:proofErr w:type="gramStart"/>
      <w:r>
        <w:t>Bewohner:innen</w:t>
      </w:r>
      <w:proofErr w:type="spellEnd"/>
      <w:proofErr w:type="gramEnd"/>
      <w:r>
        <w:t xml:space="preserve"> für unsere Region durch attraktive Bewerbung des Wohn- und Arbeitsstandortes Waldviertel. Infos unter: </w:t>
      </w:r>
      <w:hyperlink r:id="rId10" w:history="1">
        <w:r w:rsidRPr="00DC4B83">
          <w:rPr>
            <w:rStyle w:val="Hyperlink"/>
          </w:rPr>
          <w:t>www.wohnen-im-waldviertel.at</w:t>
        </w:r>
      </w:hyperlink>
    </w:p>
    <w:p w14:paraId="083F3DA6" w14:textId="77777777" w:rsidR="00BA1728" w:rsidRDefault="00BA1728" w:rsidP="007329E6">
      <w:pPr>
        <w:rPr>
          <w:b/>
          <w:bCs/>
        </w:rPr>
      </w:pPr>
      <w:bookmarkStart w:id="2" w:name="_Hlk521597726"/>
    </w:p>
    <w:p w14:paraId="291A820A" w14:textId="4440E287" w:rsidR="007329E6" w:rsidRDefault="007329E6" w:rsidP="007329E6">
      <w:r w:rsidRPr="00894C91">
        <w:rPr>
          <w:b/>
          <w:bCs/>
        </w:rPr>
        <w:t>Die 56 teilnehmenden Interkomm Gemeinden sind:</w:t>
      </w:r>
      <w:r w:rsidRPr="00894C91">
        <w:t xml:space="preserve"> Albrechtsberg </w:t>
      </w:r>
      <w:proofErr w:type="spellStart"/>
      <w:r w:rsidRPr="00894C91">
        <w:t>a.d.Gr.Krems</w:t>
      </w:r>
      <w:proofErr w:type="spellEnd"/>
      <w:r w:rsidRPr="00894C91">
        <w:t xml:space="preserve">, Allentsteig, Bad Großpertholz, Bad Traunstein, Brunn an der Wild, Dobersberg, Drosendorf- </w:t>
      </w:r>
      <w:proofErr w:type="spellStart"/>
      <w:r w:rsidRPr="00894C91">
        <w:t>Zissersdorf</w:t>
      </w:r>
      <w:proofErr w:type="spellEnd"/>
      <w:r w:rsidRPr="00894C91">
        <w:t xml:space="preserve">, Echsenbach, </w:t>
      </w:r>
      <w:proofErr w:type="spellStart"/>
      <w:r w:rsidRPr="00894C91">
        <w:t>Eisgarn</w:t>
      </w:r>
      <w:proofErr w:type="spellEnd"/>
      <w:r w:rsidRPr="00894C91">
        <w:t xml:space="preserve">, </w:t>
      </w:r>
      <w:proofErr w:type="spellStart"/>
      <w:r w:rsidRPr="00894C91">
        <w:t>Gars</w:t>
      </w:r>
      <w:proofErr w:type="spellEnd"/>
      <w:r w:rsidRPr="00894C91">
        <w:t xml:space="preserve"> am Kamp, Gastern, </w:t>
      </w:r>
      <w:proofErr w:type="spellStart"/>
      <w:r w:rsidRPr="00894C91">
        <w:t>Gföhl</w:t>
      </w:r>
      <w:proofErr w:type="spellEnd"/>
      <w:r w:rsidRPr="00894C91">
        <w:t xml:space="preserve">, Gmünd, Göpfritz an der Wild, Grafenschlag, Großdietmanns, Groß </w:t>
      </w:r>
      <w:proofErr w:type="spellStart"/>
      <w:r w:rsidRPr="00894C91">
        <w:t>Gerungs</w:t>
      </w:r>
      <w:proofErr w:type="spellEnd"/>
      <w:r w:rsidRPr="00894C91">
        <w:t xml:space="preserve">, </w:t>
      </w:r>
      <w:proofErr w:type="spellStart"/>
      <w:r w:rsidRPr="00894C91">
        <w:t>Großgöttfritz</w:t>
      </w:r>
      <w:proofErr w:type="spellEnd"/>
      <w:r w:rsidRPr="00894C91">
        <w:t xml:space="preserve">, Großschönau, Groß-Siegharts, Hofamt Priel, Hoheneich, Horn, Jaidhof, Karlstein an der Thaya, Kirchberg am Walde, Krumau am Kamp, Langau, Langschlag, Lichtenau im Waldviertel, Litschau, Meiseldorf, Moorbad Harbach, Ottenschlag, Pernegg, Pfaffenschlag, Pölla, Raabs an der Thaya, </w:t>
      </w:r>
      <w:proofErr w:type="spellStart"/>
      <w:r w:rsidRPr="00894C91">
        <w:t>Rastenfeld</w:t>
      </w:r>
      <w:proofErr w:type="spellEnd"/>
      <w:r w:rsidRPr="00894C91">
        <w:t xml:space="preserve">, Röhrenbach, Sallingberg, Schrems, Schwarzenau, </w:t>
      </w:r>
      <w:proofErr w:type="spellStart"/>
      <w:r w:rsidRPr="00894C91">
        <w:t>Schweiggers</w:t>
      </w:r>
      <w:proofErr w:type="spellEnd"/>
      <w:r w:rsidRPr="00894C91">
        <w:t>, Sigmundsherberg, St. Bernhard-</w:t>
      </w:r>
      <w:proofErr w:type="spellStart"/>
      <w:r w:rsidRPr="00894C91">
        <w:t>Frauenhofen</w:t>
      </w:r>
      <w:proofErr w:type="spellEnd"/>
      <w:r w:rsidRPr="00894C91">
        <w:t xml:space="preserve">, St. Martin, </w:t>
      </w:r>
      <w:proofErr w:type="spellStart"/>
      <w:r w:rsidRPr="00894C91">
        <w:t>Unserfrau</w:t>
      </w:r>
      <w:proofErr w:type="spellEnd"/>
      <w:r w:rsidRPr="00894C91">
        <w:t xml:space="preserve">- </w:t>
      </w:r>
      <w:proofErr w:type="spellStart"/>
      <w:r w:rsidRPr="00894C91">
        <w:t>Altweitra</w:t>
      </w:r>
      <w:proofErr w:type="spellEnd"/>
      <w:r w:rsidRPr="00894C91">
        <w:t xml:space="preserve">, Vitis, Waidhofen an der Thaya, </w:t>
      </w:r>
      <w:proofErr w:type="spellStart"/>
      <w:r w:rsidRPr="00894C91">
        <w:t>Waldenstein</w:t>
      </w:r>
      <w:proofErr w:type="spellEnd"/>
      <w:r w:rsidRPr="00894C91">
        <w:t>, Waldhausen, Weitersfeld, Weitra, Yspertal und Zwettl</w:t>
      </w:r>
      <w:r>
        <w:t>.</w:t>
      </w:r>
    </w:p>
    <w:p w14:paraId="536CB4C4" w14:textId="0C5FA54A" w:rsidR="007329E6" w:rsidRPr="000000A8" w:rsidRDefault="007329E6" w:rsidP="005E6EF2">
      <w:pPr>
        <w:rPr>
          <w:sz w:val="10"/>
          <w:szCs w:val="10"/>
        </w:rPr>
      </w:pPr>
    </w:p>
    <w:p w14:paraId="5527C351" w14:textId="77777777" w:rsidR="005E6EF2" w:rsidRPr="000000A8" w:rsidRDefault="005E6EF2" w:rsidP="005E6EF2">
      <w:pPr>
        <w:pBdr>
          <w:top w:val="single" w:sz="4" w:space="1" w:color="auto"/>
        </w:pBdr>
        <w:tabs>
          <w:tab w:val="left" w:pos="1253"/>
        </w:tabs>
        <w:rPr>
          <w:sz w:val="10"/>
          <w:szCs w:val="10"/>
        </w:rPr>
      </w:pPr>
    </w:p>
    <w:bookmarkEnd w:id="2"/>
    <w:p w14:paraId="717CE545" w14:textId="77777777" w:rsidR="005E6EF2" w:rsidRPr="00135310" w:rsidRDefault="005E6EF2" w:rsidP="005E6EF2">
      <w:pPr>
        <w:rPr>
          <w:b/>
        </w:rPr>
      </w:pPr>
      <w:r w:rsidRPr="00135310">
        <w:rPr>
          <w:b/>
        </w:rPr>
        <w:t xml:space="preserve">Bei </w:t>
      </w:r>
      <w:r>
        <w:rPr>
          <w:b/>
        </w:rPr>
        <w:t>F</w:t>
      </w:r>
      <w:r w:rsidRPr="00135310">
        <w:rPr>
          <w:b/>
        </w:rPr>
        <w:t>ragen wenden Sie sich bitte an:</w:t>
      </w:r>
    </w:p>
    <w:p w14:paraId="5F748904" w14:textId="77777777" w:rsidR="005E6EF2" w:rsidRDefault="005E6EF2" w:rsidP="005E6EF2">
      <w:r>
        <w:t>Mag. Nina Sillipp (</w:t>
      </w:r>
      <w:r w:rsidRPr="00A130DD">
        <w:t>Wallenberger &amp; Linhard Regionalberatung</w:t>
      </w:r>
      <w:r>
        <w:t xml:space="preserve"> KG</w:t>
      </w:r>
      <w:r w:rsidRPr="00A130DD">
        <w:t>, Projektumsetzung</w:t>
      </w:r>
      <w:r>
        <w:t xml:space="preserve">), </w:t>
      </w:r>
      <w:r>
        <w:br/>
        <w:t>+43 (</w:t>
      </w:r>
      <w:r w:rsidRPr="00A130DD">
        <w:t>0</w:t>
      </w:r>
      <w:r>
        <w:t xml:space="preserve">) </w:t>
      </w:r>
      <w:r w:rsidRPr="00A130DD">
        <w:t>664</w:t>
      </w:r>
      <w:r>
        <w:t xml:space="preserve"> </w:t>
      </w:r>
      <w:r w:rsidRPr="00A130DD">
        <w:t>/</w:t>
      </w:r>
      <w:r>
        <w:t xml:space="preserve"> </w:t>
      </w:r>
      <w:r w:rsidRPr="00A130DD">
        <w:t>230 58 70</w:t>
      </w:r>
      <w:r>
        <w:t xml:space="preserve">, </w:t>
      </w:r>
      <w:hyperlink r:id="rId11" w:history="1">
        <w:r w:rsidRPr="007D6D63">
          <w:rPr>
            <w:rStyle w:val="Hyperlink"/>
          </w:rPr>
          <w:t>office@wohnen-im-waldviertel.at</w:t>
        </w:r>
      </w:hyperlink>
      <w:r>
        <w:t xml:space="preserve"> </w:t>
      </w:r>
    </w:p>
    <w:p w14:paraId="14B94F86" w14:textId="77777777" w:rsidR="005E6EF2" w:rsidRPr="00A130DD" w:rsidRDefault="005E6EF2" w:rsidP="005E6EF2">
      <w:r>
        <w:t xml:space="preserve">Weitere </w:t>
      </w:r>
      <w:r w:rsidRPr="00E343C3">
        <w:t>Informationen</w:t>
      </w:r>
      <w:r>
        <w:t xml:space="preserve"> erhalten Sie unter </w:t>
      </w:r>
      <w:hyperlink r:id="rId12" w:history="1">
        <w:r w:rsidRPr="007D6D63">
          <w:rPr>
            <w:rStyle w:val="Hyperlink"/>
          </w:rPr>
          <w:t>www.wohnen-im-waldviertel.at/presse</w:t>
        </w:r>
      </w:hyperlink>
      <w:r>
        <w:t xml:space="preserve"> </w:t>
      </w:r>
      <w:r w:rsidRPr="00A130DD">
        <w:t xml:space="preserve"> </w:t>
      </w:r>
    </w:p>
    <w:p w14:paraId="35DAB2C8" w14:textId="46524E88" w:rsidR="005E6EF2" w:rsidRDefault="005E6EF2" w:rsidP="00BA1728">
      <w:pPr>
        <w:rPr>
          <w:rStyle w:val="Hyperlink"/>
        </w:rPr>
      </w:pPr>
      <w:r>
        <w:t xml:space="preserve">Oder folgen Sie uns auf </w:t>
      </w:r>
      <w:hyperlink r:id="rId13" w:history="1">
        <w:r w:rsidRPr="007D6D63">
          <w:rPr>
            <w:rStyle w:val="Hyperlink"/>
          </w:rPr>
          <w:t>www.facebook.com/WohnenImWaldviertel</w:t>
        </w:r>
      </w:hyperlink>
      <w:r>
        <w:t xml:space="preserve"> und </w:t>
      </w:r>
      <w:hyperlink r:id="rId14" w:history="1">
        <w:r w:rsidRPr="007D6D63">
          <w:rPr>
            <w:rStyle w:val="Hyperlink"/>
          </w:rPr>
          <w:t>www.twitter.com/Waldviertel</w:t>
        </w:r>
      </w:hyperlink>
    </w:p>
    <w:p w14:paraId="10E39247" w14:textId="77777777" w:rsidR="00BA1728" w:rsidRDefault="00BA1728" w:rsidP="00BA1728">
      <w:pPr>
        <w:rPr>
          <w:rStyle w:val="Hyperlink"/>
        </w:rPr>
      </w:pPr>
    </w:p>
    <w:p w14:paraId="18F49163" w14:textId="77777777" w:rsidR="00BA1728" w:rsidRDefault="00BA1728" w:rsidP="00BA1728">
      <w:pPr>
        <w:rPr>
          <w:u w:val="single"/>
        </w:rPr>
        <w:sectPr w:rsidR="00BA1728" w:rsidSect="00894C91">
          <w:headerReference w:type="default" r:id="rId15"/>
          <w:footerReference w:type="default" r:id="rId16"/>
          <w:pgSz w:w="11906" w:h="16838"/>
          <w:pgMar w:top="2642" w:right="1701" w:bottom="1134" w:left="1418" w:header="709" w:footer="709" w:gutter="0"/>
          <w:cols w:space="708"/>
        </w:sectPr>
      </w:pPr>
    </w:p>
    <w:p w14:paraId="1E5AB593" w14:textId="77777777" w:rsidR="00BA1728" w:rsidRDefault="00BA1728" w:rsidP="00BA1728">
      <w:pPr>
        <w:rPr>
          <w:u w:val="single"/>
        </w:rPr>
      </w:pPr>
    </w:p>
    <w:p w14:paraId="3787414D" w14:textId="77777777" w:rsidR="00BA1728" w:rsidRDefault="00BA1728" w:rsidP="00BA1728">
      <w:pPr>
        <w:rPr>
          <w:u w:val="single"/>
        </w:rPr>
      </w:pPr>
    </w:p>
    <w:tbl>
      <w:tblPr>
        <w:tblW w:w="15051" w:type="dxa"/>
        <w:tblLayout w:type="fixed"/>
        <w:tblCellMar>
          <w:left w:w="70" w:type="dxa"/>
          <w:right w:w="70" w:type="dxa"/>
        </w:tblCellMar>
        <w:tblLook w:val="04A0" w:firstRow="1" w:lastRow="0" w:firstColumn="1" w:lastColumn="0" w:noHBand="0" w:noVBand="1"/>
      </w:tblPr>
      <w:tblGrid>
        <w:gridCol w:w="1133"/>
        <w:gridCol w:w="779"/>
        <w:gridCol w:w="781"/>
        <w:gridCol w:w="850"/>
        <w:gridCol w:w="992"/>
        <w:gridCol w:w="851"/>
        <w:gridCol w:w="697"/>
        <w:gridCol w:w="711"/>
        <w:gridCol w:w="882"/>
        <w:gridCol w:w="850"/>
        <w:gridCol w:w="658"/>
        <w:gridCol w:w="819"/>
        <w:gridCol w:w="876"/>
        <w:gridCol w:w="658"/>
        <w:gridCol w:w="851"/>
        <w:gridCol w:w="567"/>
        <w:gridCol w:w="845"/>
        <w:gridCol w:w="9"/>
        <w:gridCol w:w="524"/>
        <w:gridCol w:w="9"/>
        <w:gridCol w:w="700"/>
        <w:gridCol w:w="9"/>
      </w:tblGrid>
      <w:tr w:rsidR="00BA1728" w:rsidRPr="00BA1728" w14:paraId="68393FC5" w14:textId="77777777" w:rsidTr="002B6B63">
        <w:trPr>
          <w:gridAfter w:val="1"/>
          <w:wAfter w:w="9" w:type="dxa"/>
          <w:trHeight w:val="276"/>
        </w:trPr>
        <w:tc>
          <w:tcPr>
            <w:tcW w:w="1133" w:type="dxa"/>
            <w:vMerge w:val="restart"/>
            <w:tcBorders>
              <w:top w:val="single" w:sz="4" w:space="0" w:color="000000"/>
              <w:left w:val="nil"/>
              <w:bottom w:val="single" w:sz="4" w:space="0" w:color="000000"/>
              <w:right w:val="single" w:sz="4" w:space="0" w:color="000000"/>
            </w:tcBorders>
            <w:shd w:val="clear" w:color="auto" w:fill="auto"/>
            <w:vAlign w:val="center"/>
            <w:hideMark/>
          </w:tcPr>
          <w:p w14:paraId="14E8830B"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805AD" w14:textId="77777777" w:rsidR="00BA1728" w:rsidRPr="00BA1728" w:rsidRDefault="00BA1728" w:rsidP="00BA1728">
            <w:pPr>
              <w:spacing w:line="240" w:lineRule="auto"/>
              <w:jc w:val="center"/>
              <w:rPr>
                <w:rFonts w:eastAsia="Times New Roman" w:cs="Calibri"/>
                <w:color w:val="000000"/>
                <w:sz w:val="14"/>
                <w:szCs w:val="14"/>
                <w:lang w:val="de-AT" w:eastAsia="de-AT"/>
              </w:rPr>
            </w:pPr>
            <w:proofErr w:type="spellStart"/>
            <w:r w:rsidRPr="00BA1728">
              <w:rPr>
                <w:rFonts w:eastAsia="Times New Roman" w:cs="Calibri"/>
                <w:color w:val="000000"/>
                <w:sz w:val="14"/>
                <w:szCs w:val="14"/>
                <w:lang w:val="de-AT" w:eastAsia="de-AT"/>
              </w:rPr>
              <w:t>Bevölke</w:t>
            </w:r>
            <w:proofErr w:type="spellEnd"/>
            <w:r w:rsidRPr="00BA1728">
              <w:rPr>
                <w:rFonts w:eastAsia="Times New Roman" w:cs="Calibri"/>
                <w:color w:val="000000"/>
                <w:sz w:val="14"/>
                <w:szCs w:val="14"/>
                <w:lang w:val="de-AT" w:eastAsia="de-AT"/>
              </w:rPr>
              <w:t>-</w:t>
            </w:r>
            <w:r w:rsidRPr="00BA1728">
              <w:rPr>
                <w:rFonts w:eastAsia="Times New Roman" w:cs="Calibri"/>
                <w:color w:val="000000"/>
                <w:sz w:val="14"/>
                <w:szCs w:val="14"/>
                <w:lang w:val="de-AT" w:eastAsia="de-AT"/>
              </w:rPr>
              <w:br/>
            </w:r>
            <w:proofErr w:type="spellStart"/>
            <w:r w:rsidRPr="00BA1728">
              <w:rPr>
                <w:rFonts w:eastAsia="Times New Roman" w:cs="Calibri"/>
                <w:color w:val="000000"/>
                <w:sz w:val="14"/>
                <w:szCs w:val="14"/>
                <w:lang w:val="de-AT" w:eastAsia="de-AT"/>
              </w:rPr>
              <w:t>rung</w:t>
            </w:r>
            <w:proofErr w:type="spellEnd"/>
            <w:r w:rsidRPr="00BA1728">
              <w:rPr>
                <w:rFonts w:eastAsia="Times New Roman" w:cs="Calibri"/>
                <w:color w:val="000000"/>
                <w:sz w:val="14"/>
                <w:szCs w:val="14"/>
                <w:lang w:val="de-AT" w:eastAsia="de-AT"/>
              </w:rPr>
              <w:t xml:space="preserve"> am</w:t>
            </w:r>
            <w:r w:rsidRPr="00BA1728">
              <w:rPr>
                <w:rFonts w:eastAsia="Times New Roman" w:cs="Calibri"/>
                <w:color w:val="000000"/>
                <w:sz w:val="14"/>
                <w:szCs w:val="14"/>
                <w:lang w:val="de-AT" w:eastAsia="de-AT"/>
              </w:rPr>
              <w:br/>
              <w:t>1.1.2022</w:t>
            </w:r>
          </w:p>
        </w:tc>
        <w:tc>
          <w:tcPr>
            <w:tcW w:w="16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E9F07"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Gesamt-</w:t>
            </w:r>
            <w:r w:rsidRPr="00BA1728">
              <w:rPr>
                <w:rFonts w:eastAsia="Times New Roman" w:cs="Calibri"/>
                <w:color w:val="000000"/>
                <w:sz w:val="14"/>
                <w:szCs w:val="14"/>
                <w:lang w:val="de-AT" w:eastAsia="de-AT"/>
              </w:rPr>
              <w:br/>
            </w:r>
            <w:proofErr w:type="spellStart"/>
            <w:r w:rsidRPr="00BA1728">
              <w:rPr>
                <w:rFonts w:eastAsia="Times New Roman" w:cs="Calibri"/>
                <w:color w:val="000000"/>
                <w:sz w:val="14"/>
                <w:szCs w:val="14"/>
                <w:lang w:val="de-AT" w:eastAsia="de-AT"/>
              </w:rPr>
              <w:t>veränderung</w:t>
            </w:r>
            <w:proofErr w:type="spellEnd"/>
            <w:r w:rsidRPr="00BA1728">
              <w:rPr>
                <w:rFonts w:eastAsia="Times New Roman" w:cs="Calibri"/>
                <w:color w:val="000000"/>
                <w:sz w:val="14"/>
                <w:szCs w:val="14"/>
                <w:lang w:val="de-AT" w:eastAsia="de-AT"/>
              </w:rPr>
              <w:t xml:space="preserve"> (inkl. Statistischer Korrektur)</w:t>
            </w:r>
          </w:p>
        </w:tc>
        <w:tc>
          <w:tcPr>
            <w:tcW w:w="25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7BFF0"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Geburtenbilanz</w:t>
            </w:r>
          </w:p>
        </w:tc>
        <w:tc>
          <w:tcPr>
            <w:tcW w:w="7717" w:type="dxa"/>
            <w:gridSpan w:val="10"/>
            <w:tcBorders>
              <w:top w:val="single" w:sz="4" w:space="0" w:color="000000"/>
              <w:left w:val="nil"/>
              <w:bottom w:val="single" w:sz="4" w:space="0" w:color="000000"/>
              <w:right w:val="single" w:sz="4" w:space="0" w:color="000000"/>
            </w:tcBorders>
            <w:shd w:val="clear" w:color="auto" w:fill="auto"/>
            <w:vAlign w:val="center"/>
            <w:hideMark/>
          </w:tcPr>
          <w:p w14:paraId="21FB1F59"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Wanderungsbilanz</w:t>
            </w:r>
          </w:p>
        </w:tc>
        <w:tc>
          <w:tcPr>
            <w:tcW w:w="533" w:type="dxa"/>
            <w:gridSpan w:val="2"/>
            <w:vMerge w:val="restart"/>
            <w:tcBorders>
              <w:top w:val="single" w:sz="4" w:space="0" w:color="000000"/>
              <w:left w:val="single" w:sz="4" w:space="0" w:color="000000"/>
              <w:right w:val="single" w:sz="4" w:space="0" w:color="000000"/>
            </w:tcBorders>
            <w:shd w:val="clear" w:color="auto" w:fill="auto"/>
            <w:vAlign w:val="center"/>
            <w:hideMark/>
          </w:tcPr>
          <w:p w14:paraId="39EE65E9" w14:textId="77777777" w:rsidR="00BA1728" w:rsidRPr="00BA1728" w:rsidRDefault="00BA1728" w:rsidP="00BA1728">
            <w:pPr>
              <w:spacing w:line="240" w:lineRule="auto"/>
              <w:jc w:val="center"/>
              <w:rPr>
                <w:rFonts w:eastAsia="Times New Roman" w:cs="Calibri"/>
                <w:color w:val="000000"/>
                <w:sz w:val="14"/>
                <w:szCs w:val="14"/>
                <w:lang w:val="de-AT" w:eastAsia="de-AT"/>
              </w:rPr>
            </w:pPr>
            <w:proofErr w:type="spellStart"/>
            <w:r w:rsidRPr="00BA1728">
              <w:rPr>
                <w:rFonts w:eastAsia="Times New Roman" w:cs="Calibri"/>
                <w:color w:val="000000"/>
                <w:sz w:val="14"/>
                <w:szCs w:val="14"/>
                <w:lang w:val="de-AT" w:eastAsia="de-AT"/>
              </w:rPr>
              <w:t>Statis</w:t>
            </w:r>
            <w:proofErr w:type="spellEnd"/>
            <w:r w:rsidRPr="00BA1728">
              <w:rPr>
                <w:rFonts w:eastAsia="Times New Roman" w:cs="Calibri"/>
                <w:color w:val="000000"/>
                <w:sz w:val="14"/>
                <w:szCs w:val="14"/>
                <w:lang w:val="de-AT" w:eastAsia="de-AT"/>
              </w:rPr>
              <w:t>-</w:t>
            </w:r>
            <w:r w:rsidRPr="00BA1728">
              <w:rPr>
                <w:rFonts w:eastAsia="Times New Roman" w:cs="Calibri"/>
                <w:color w:val="000000"/>
                <w:sz w:val="14"/>
                <w:szCs w:val="14"/>
                <w:lang w:val="de-AT" w:eastAsia="de-AT"/>
              </w:rPr>
              <w:br/>
              <w:t>tische</w:t>
            </w:r>
            <w:r w:rsidRPr="00BA1728">
              <w:rPr>
                <w:rFonts w:eastAsia="Times New Roman" w:cs="Calibri"/>
                <w:color w:val="000000"/>
                <w:sz w:val="14"/>
                <w:szCs w:val="14"/>
                <w:lang w:val="de-AT" w:eastAsia="de-AT"/>
              </w:rPr>
              <w:br/>
              <w:t>Korrektur</w:t>
            </w:r>
          </w:p>
        </w:tc>
        <w:tc>
          <w:tcPr>
            <w:tcW w:w="709" w:type="dxa"/>
            <w:gridSpan w:val="2"/>
            <w:vMerge w:val="restart"/>
            <w:tcBorders>
              <w:top w:val="single" w:sz="4" w:space="0" w:color="000000"/>
              <w:left w:val="single" w:sz="4" w:space="0" w:color="000000"/>
              <w:right w:val="nil"/>
            </w:tcBorders>
            <w:shd w:val="clear" w:color="auto" w:fill="auto"/>
            <w:vAlign w:val="center"/>
            <w:hideMark/>
          </w:tcPr>
          <w:p w14:paraId="09C8678D" w14:textId="77777777" w:rsidR="00BA1728" w:rsidRPr="00BA1728" w:rsidRDefault="00BA1728" w:rsidP="00BA1728">
            <w:pPr>
              <w:spacing w:line="240" w:lineRule="auto"/>
              <w:jc w:val="center"/>
              <w:rPr>
                <w:rFonts w:eastAsia="Times New Roman" w:cs="Calibri"/>
                <w:color w:val="000000"/>
                <w:sz w:val="14"/>
                <w:szCs w:val="14"/>
                <w:lang w:val="de-AT" w:eastAsia="de-AT"/>
              </w:rPr>
            </w:pPr>
            <w:proofErr w:type="spellStart"/>
            <w:r w:rsidRPr="00BA1728">
              <w:rPr>
                <w:rFonts w:eastAsia="Times New Roman" w:cs="Calibri"/>
                <w:color w:val="000000"/>
                <w:sz w:val="14"/>
                <w:szCs w:val="14"/>
                <w:lang w:val="de-AT" w:eastAsia="de-AT"/>
              </w:rPr>
              <w:t>Bevölke</w:t>
            </w:r>
            <w:proofErr w:type="spellEnd"/>
            <w:r w:rsidRPr="00BA1728">
              <w:rPr>
                <w:rFonts w:eastAsia="Times New Roman" w:cs="Calibri"/>
                <w:color w:val="000000"/>
                <w:sz w:val="14"/>
                <w:szCs w:val="14"/>
                <w:lang w:val="de-AT" w:eastAsia="de-AT"/>
              </w:rPr>
              <w:t>-</w:t>
            </w:r>
            <w:r w:rsidRPr="00BA1728">
              <w:rPr>
                <w:rFonts w:eastAsia="Times New Roman" w:cs="Calibri"/>
                <w:color w:val="000000"/>
                <w:sz w:val="14"/>
                <w:szCs w:val="14"/>
                <w:lang w:val="de-AT" w:eastAsia="de-AT"/>
              </w:rPr>
              <w:br/>
            </w:r>
            <w:proofErr w:type="spellStart"/>
            <w:r w:rsidRPr="00BA1728">
              <w:rPr>
                <w:rFonts w:eastAsia="Times New Roman" w:cs="Calibri"/>
                <w:color w:val="000000"/>
                <w:sz w:val="14"/>
                <w:szCs w:val="14"/>
                <w:lang w:val="de-AT" w:eastAsia="de-AT"/>
              </w:rPr>
              <w:t>rung</w:t>
            </w:r>
            <w:proofErr w:type="spellEnd"/>
            <w:r w:rsidRPr="00BA1728">
              <w:rPr>
                <w:rFonts w:eastAsia="Times New Roman" w:cs="Calibri"/>
                <w:color w:val="000000"/>
                <w:sz w:val="14"/>
                <w:szCs w:val="14"/>
                <w:lang w:val="de-AT" w:eastAsia="de-AT"/>
              </w:rPr>
              <w:t xml:space="preserve"> am</w:t>
            </w:r>
            <w:r w:rsidRPr="00BA1728">
              <w:rPr>
                <w:rFonts w:eastAsia="Times New Roman" w:cs="Calibri"/>
                <w:color w:val="000000"/>
                <w:sz w:val="14"/>
                <w:szCs w:val="14"/>
                <w:lang w:val="de-AT" w:eastAsia="de-AT"/>
              </w:rPr>
              <w:br/>
              <w:t>1.1.2023</w:t>
            </w:r>
          </w:p>
        </w:tc>
      </w:tr>
      <w:tr w:rsidR="00BA1728" w:rsidRPr="00BA1728" w14:paraId="6E539E6E" w14:textId="77777777" w:rsidTr="002B6B63">
        <w:trPr>
          <w:gridAfter w:val="1"/>
          <w:wAfter w:w="9" w:type="dxa"/>
          <w:trHeight w:val="276"/>
        </w:trPr>
        <w:tc>
          <w:tcPr>
            <w:tcW w:w="1133" w:type="dxa"/>
            <w:vMerge/>
            <w:tcBorders>
              <w:top w:val="single" w:sz="4" w:space="0" w:color="000000"/>
              <w:left w:val="nil"/>
              <w:bottom w:val="single" w:sz="4" w:space="0" w:color="000000"/>
              <w:right w:val="single" w:sz="4" w:space="0" w:color="000000"/>
            </w:tcBorders>
            <w:vAlign w:val="center"/>
            <w:hideMark/>
          </w:tcPr>
          <w:p w14:paraId="77506791" w14:textId="77777777" w:rsidR="00BA1728" w:rsidRPr="00BA1728" w:rsidRDefault="00BA1728" w:rsidP="00BA1728">
            <w:pPr>
              <w:spacing w:line="240" w:lineRule="auto"/>
              <w:rPr>
                <w:rFonts w:eastAsia="Times New Roman" w:cs="Calibri"/>
                <w:color w:val="000000"/>
                <w:sz w:val="14"/>
                <w:szCs w:val="14"/>
                <w:lang w:val="de-AT" w:eastAsia="de-AT"/>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62A2214E" w14:textId="77777777" w:rsidR="00BA1728" w:rsidRPr="00BA1728" w:rsidRDefault="00BA1728" w:rsidP="00BA1728">
            <w:pPr>
              <w:spacing w:line="240" w:lineRule="auto"/>
              <w:rPr>
                <w:rFonts w:eastAsia="Times New Roman" w:cs="Calibri"/>
                <w:color w:val="000000"/>
                <w:sz w:val="14"/>
                <w:szCs w:val="14"/>
                <w:lang w:val="de-AT" w:eastAsia="de-AT"/>
              </w:rPr>
            </w:pP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14:paraId="00E4A274"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5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38EBF2"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4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07868"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Wanderungen insgesamt</w:t>
            </w:r>
          </w:p>
        </w:tc>
        <w:tc>
          <w:tcPr>
            <w:tcW w:w="23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81CC1"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Außenwanderungen (mit dem Ausland)</w:t>
            </w:r>
          </w:p>
        </w:tc>
        <w:tc>
          <w:tcPr>
            <w:tcW w:w="2921" w:type="dxa"/>
            <w:gridSpan w:val="4"/>
            <w:tcBorders>
              <w:top w:val="single" w:sz="4" w:space="0" w:color="000000"/>
              <w:left w:val="nil"/>
              <w:bottom w:val="single" w:sz="4" w:space="0" w:color="000000"/>
              <w:right w:val="single" w:sz="4" w:space="0" w:color="000000"/>
            </w:tcBorders>
            <w:shd w:val="clear" w:color="auto" w:fill="auto"/>
            <w:vAlign w:val="center"/>
            <w:hideMark/>
          </w:tcPr>
          <w:p w14:paraId="6FD3CBF6"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Binnenwanderungen (innerhalb Österreichs)</w:t>
            </w:r>
          </w:p>
        </w:tc>
        <w:tc>
          <w:tcPr>
            <w:tcW w:w="533" w:type="dxa"/>
            <w:gridSpan w:val="2"/>
            <w:vMerge/>
            <w:tcBorders>
              <w:left w:val="single" w:sz="4" w:space="0" w:color="000000"/>
              <w:right w:val="single" w:sz="4" w:space="0" w:color="000000"/>
            </w:tcBorders>
            <w:vAlign w:val="center"/>
            <w:hideMark/>
          </w:tcPr>
          <w:p w14:paraId="2B4490E2" w14:textId="77777777" w:rsidR="00BA1728" w:rsidRPr="00BA1728" w:rsidRDefault="00BA1728" w:rsidP="00BA1728">
            <w:pPr>
              <w:spacing w:line="240" w:lineRule="auto"/>
              <w:rPr>
                <w:rFonts w:eastAsia="Times New Roman" w:cs="Calibri"/>
                <w:color w:val="000000"/>
                <w:sz w:val="14"/>
                <w:szCs w:val="14"/>
                <w:lang w:val="de-AT" w:eastAsia="de-AT"/>
              </w:rPr>
            </w:pPr>
          </w:p>
        </w:tc>
        <w:tc>
          <w:tcPr>
            <w:tcW w:w="709" w:type="dxa"/>
            <w:gridSpan w:val="2"/>
            <w:vMerge/>
            <w:tcBorders>
              <w:left w:val="single" w:sz="4" w:space="0" w:color="000000"/>
              <w:right w:val="nil"/>
            </w:tcBorders>
            <w:vAlign w:val="center"/>
            <w:hideMark/>
          </w:tcPr>
          <w:p w14:paraId="0076F2F7" w14:textId="77777777" w:rsidR="00BA1728" w:rsidRPr="00BA1728" w:rsidRDefault="00BA1728" w:rsidP="00BA1728">
            <w:pPr>
              <w:spacing w:line="240" w:lineRule="auto"/>
              <w:rPr>
                <w:rFonts w:eastAsia="Times New Roman" w:cs="Calibri"/>
                <w:color w:val="000000"/>
                <w:sz w:val="14"/>
                <w:szCs w:val="14"/>
                <w:lang w:val="de-AT" w:eastAsia="de-AT"/>
              </w:rPr>
            </w:pPr>
          </w:p>
        </w:tc>
      </w:tr>
      <w:tr w:rsidR="00BA1728" w:rsidRPr="00BA1728" w14:paraId="71FE6354" w14:textId="77777777" w:rsidTr="002B6B63">
        <w:trPr>
          <w:gridAfter w:val="1"/>
          <w:wAfter w:w="9" w:type="dxa"/>
          <w:trHeight w:val="276"/>
        </w:trPr>
        <w:tc>
          <w:tcPr>
            <w:tcW w:w="1133" w:type="dxa"/>
            <w:vMerge/>
            <w:tcBorders>
              <w:top w:val="single" w:sz="4" w:space="0" w:color="000000"/>
              <w:left w:val="nil"/>
              <w:bottom w:val="single" w:sz="4" w:space="0" w:color="000000"/>
              <w:right w:val="single" w:sz="4" w:space="0" w:color="000000"/>
            </w:tcBorders>
            <w:vAlign w:val="center"/>
            <w:hideMark/>
          </w:tcPr>
          <w:p w14:paraId="18F1E4B7" w14:textId="77777777" w:rsidR="00BA1728" w:rsidRPr="00BA1728" w:rsidRDefault="00BA1728" w:rsidP="00BA1728">
            <w:pPr>
              <w:spacing w:line="240" w:lineRule="auto"/>
              <w:rPr>
                <w:rFonts w:eastAsia="Times New Roman" w:cs="Calibri"/>
                <w:color w:val="000000"/>
                <w:sz w:val="14"/>
                <w:szCs w:val="14"/>
                <w:lang w:val="de-AT" w:eastAsia="de-AT"/>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12DFFE26" w14:textId="77777777" w:rsidR="00BA1728" w:rsidRPr="00BA1728" w:rsidRDefault="00BA1728" w:rsidP="00BA1728">
            <w:pPr>
              <w:spacing w:line="240" w:lineRule="auto"/>
              <w:rPr>
                <w:rFonts w:eastAsia="Times New Roman" w:cs="Calibri"/>
                <w:color w:val="000000"/>
                <w:sz w:val="14"/>
                <w:szCs w:val="14"/>
                <w:lang w:val="de-AT" w:eastAsia="de-AT"/>
              </w:rPr>
            </w:pP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14:paraId="3625BE17"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540" w:type="dxa"/>
            <w:gridSpan w:val="3"/>
            <w:vMerge/>
            <w:tcBorders>
              <w:top w:val="single" w:sz="4" w:space="0" w:color="000000"/>
              <w:left w:val="single" w:sz="4" w:space="0" w:color="000000"/>
              <w:bottom w:val="single" w:sz="4" w:space="0" w:color="000000"/>
              <w:right w:val="single" w:sz="4" w:space="0" w:color="000000"/>
            </w:tcBorders>
            <w:vAlign w:val="center"/>
            <w:hideMark/>
          </w:tcPr>
          <w:p w14:paraId="60FA3A5E"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443" w:type="dxa"/>
            <w:gridSpan w:val="3"/>
            <w:vMerge/>
            <w:tcBorders>
              <w:top w:val="single" w:sz="4" w:space="0" w:color="000000"/>
              <w:left w:val="single" w:sz="4" w:space="0" w:color="000000"/>
              <w:bottom w:val="single" w:sz="4" w:space="0" w:color="000000"/>
              <w:right w:val="single" w:sz="4" w:space="0" w:color="000000"/>
            </w:tcBorders>
            <w:vAlign w:val="center"/>
            <w:hideMark/>
          </w:tcPr>
          <w:p w14:paraId="7A9E02F5"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353" w:type="dxa"/>
            <w:gridSpan w:val="3"/>
            <w:vMerge/>
            <w:tcBorders>
              <w:top w:val="single" w:sz="4" w:space="0" w:color="000000"/>
              <w:left w:val="single" w:sz="4" w:space="0" w:color="000000"/>
              <w:bottom w:val="single" w:sz="4" w:space="0" w:color="000000"/>
              <w:right w:val="single" w:sz="4" w:space="0" w:color="000000"/>
            </w:tcBorders>
            <w:vAlign w:val="center"/>
            <w:hideMark/>
          </w:tcPr>
          <w:p w14:paraId="1AE476E7" w14:textId="77777777" w:rsidR="00BA1728" w:rsidRPr="00BA1728" w:rsidRDefault="00BA1728" w:rsidP="00BA1728">
            <w:pPr>
              <w:spacing w:line="240" w:lineRule="auto"/>
              <w:rPr>
                <w:rFonts w:eastAsia="Times New Roman" w:cs="Calibri"/>
                <w:color w:val="000000"/>
                <w:sz w:val="14"/>
                <w:szCs w:val="14"/>
                <w:lang w:val="de-AT" w:eastAsia="de-AT"/>
              </w:rPr>
            </w:pPr>
          </w:p>
        </w:tc>
        <w:tc>
          <w:tcPr>
            <w:tcW w:w="2076" w:type="dxa"/>
            <w:gridSpan w:val="3"/>
            <w:tcBorders>
              <w:top w:val="single" w:sz="4" w:space="0" w:color="000000"/>
              <w:left w:val="nil"/>
              <w:bottom w:val="single" w:sz="4" w:space="0" w:color="000000"/>
              <w:right w:val="single" w:sz="4" w:space="0" w:color="000000"/>
            </w:tcBorders>
            <w:shd w:val="clear" w:color="auto" w:fill="auto"/>
            <w:vAlign w:val="center"/>
            <w:hideMark/>
          </w:tcPr>
          <w:p w14:paraId="49B2462C"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über Grenzen der betrachteten </w:t>
            </w:r>
            <w:proofErr w:type="spellStart"/>
            <w:r w:rsidRPr="00BA1728">
              <w:rPr>
                <w:rFonts w:eastAsia="Times New Roman" w:cs="Calibri"/>
                <w:color w:val="000000"/>
                <w:sz w:val="14"/>
                <w:szCs w:val="14"/>
                <w:lang w:val="de-AT" w:eastAsia="de-AT"/>
              </w:rPr>
              <w:t>Gebietseinh</w:t>
            </w:r>
            <w:proofErr w:type="spellEnd"/>
            <w:r w:rsidRPr="00BA1728">
              <w:rPr>
                <w:rFonts w:eastAsia="Times New Roman" w:cs="Calibri"/>
                <w:color w:val="000000"/>
                <w:sz w:val="14"/>
                <w:szCs w:val="14"/>
                <w:lang w:val="de-AT" w:eastAsia="de-AT"/>
              </w:rPr>
              <w:t>.</w:t>
            </w:r>
          </w:p>
        </w:tc>
        <w:tc>
          <w:tcPr>
            <w:tcW w:w="845" w:type="dxa"/>
            <w:vMerge w:val="restart"/>
            <w:tcBorders>
              <w:top w:val="nil"/>
              <w:left w:val="single" w:sz="4" w:space="0" w:color="000000"/>
              <w:right w:val="single" w:sz="4" w:space="0" w:color="000000"/>
            </w:tcBorders>
            <w:shd w:val="clear" w:color="auto" w:fill="auto"/>
            <w:vAlign w:val="center"/>
            <w:hideMark/>
          </w:tcPr>
          <w:p w14:paraId="573AE00C" w14:textId="77777777" w:rsidR="00BA1728" w:rsidRPr="00BA1728" w:rsidRDefault="00BA1728"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Umzüge</w:t>
            </w:r>
            <w:r w:rsidRPr="00BA1728">
              <w:rPr>
                <w:rFonts w:eastAsia="Times New Roman" w:cs="Calibri"/>
                <w:color w:val="000000"/>
                <w:sz w:val="14"/>
                <w:szCs w:val="14"/>
                <w:lang w:val="de-AT" w:eastAsia="de-AT"/>
              </w:rPr>
              <w:br/>
              <w:t>innerhalb</w:t>
            </w:r>
            <w:r w:rsidRPr="00BA1728">
              <w:rPr>
                <w:rFonts w:eastAsia="Times New Roman" w:cs="Calibri"/>
                <w:color w:val="000000"/>
                <w:sz w:val="14"/>
                <w:szCs w:val="14"/>
                <w:lang w:val="de-AT" w:eastAsia="de-AT"/>
              </w:rPr>
              <w:br/>
              <w:t>der Ge-</w:t>
            </w:r>
            <w:r w:rsidRPr="00BA1728">
              <w:rPr>
                <w:rFonts w:eastAsia="Times New Roman" w:cs="Calibri"/>
                <w:color w:val="000000"/>
                <w:sz w:val="14"/>
                <w:szCs w:val="14"/>
                <w:lang w:val="de-AT" w:eastAsia="de-AT"/>
              </w:rPr>
              <w:br/>
            </w:r>
            <w:proofErr w:type="spellStart"/>
            <w:r w:rsidRPr="00BA1728">
              <w:rPr>
                <w:rFonts w:eastAsia="Times New Roman" w:cs="Calibri"/>
                <w:color w:val="000000"/>
                <w:sz w:val="14"/>
                <w:szCs w:val="14"/>
                <w:lang w:val="de-AT" w:eastAsia="de-AT"/>
              </w:rPr>
              <w:t>bietseinh</w:t>
            </w:r>
            <w:proofErr w:type="spellEnd"/>
            <w:r w:rsidRPr="00BA1728">
              <w:rPr>
                <w:rFonts w:eastAsia="Times New Roman" w:cs="Calibri"/>
                <w:color w:val="000000"/>
                <w:sz w:val="14"/>
                <w:szCs w:val="14"/>
                <w:lang w:val="de-AT" w:eastAsia="de-AT"/>
              </w:rPr>
              <w:t>.</w:t>
            </w:r>
          </w:p>
        </w:tc>
        <w:tc>
          <w:tcPr>
            <w:tcW w:w="533" w:type="dxa"/>
            <w:gridSpan w:val="2"/>
            <w:vMerge/>
            <w:tcBorders>
              <w:left w:val="single" w:sz="4" w:space="0" w:color="000000"/>
              <w:right w:val="single" w:sz="4" w:space="0" w:color="000000"/>
            </w:tcBorders>
            <w:vAlign w:val="center"/>
            <w:hideMark/>
          </w:tcPr>
          <w:p w14:paraId="08B212F1" w14:textId="77777777" w:rsidR="00BA1728" w:rsidRPr="00BA1728" w:rsidRDefault="00BA1728" w:rsidP="00BA1728">
            <w:pPr>
              <w:spacing w:line="240" w:lineRule="auto"/>
              <w:rPr>
                <w:rFonts w:eastAsia="Times New Roman" w:cs="Calibri"/>
                <w:color w:val="000000"/>
                <w:sz w:val="14"/>
                <w:szCs w:val="14"/>
                <w:lang w:val="de-AT" w:eastAsia="de-AT"/>
              </w:rPr>
            </w:pPr>
          </w:p>
        </w:tc>
        <w:tc>
          <w:tcPr>
            <w:tcW w:w="709" w:type="dxa"/>
            <w:gridSpan w:val="2"/>
            <w:vMerge/>
            <w:tcBorders>
              <w:left w:val="single" w:sz="4" w:space="0" w:color="000000"/>
              <w:right w:val="nil"/>
            </w:tcBorders>
            <w:vAlign w:val="center"/>
            <w:hideMark/>
          </w:tcPr>
          <w:p w14:paraId="328D4E37" w14:textId="77777777" w:rsidR="00BA1728" w:rsidRPr="00BA1728" w:rsidRDefault="00BA1728" w:rsidP="00BA1728">
            <w:pPr>
              <w:spacing w:line="240" w:lineRule="auto"/>
              <w:rPr>
                <w:rFonts w:eastAsia="Times New Roman" w:cs="Calibri"/>
                <w:color w:val="000000"/>
                <w:sz w:val="14"/>
                <w:szCs w:val="14"/>
                <w:lang w:val="de-AT" w:eastAsia="de-AT"/>
              </w:rPr>
            </w:pPr>
          </w:p>
        </w:tc>
      </w:tr>
      <w:tr w:rsidR="002B6B63" w:rsidRPr="00BA1728" w14:paraId="00EB72B5" w14:textId="77777777" w:rsidTr="002B6B63">
        <w:trPr>
          <w:gridAfter w:val="1"/>
          <w:wAfter w:w="9" w:type="dxa"/>
          <w:trHeight w:val="276"/>
        </w:trPr>
        <w:tc>
          <w:tcPr>
            <w:tcW w:w="1133" w:type="dxa"/>
            <w:vMerge/>
            <w:tcBorders>
              <w:top w:val="single" w:sz="4" w:space="0" w:color="000000"/>
              <w:left w:val="nil"/>
              <w:bottom w:val="single" w:sz="4" w:space="0" w:color="000000"/>
              <w:right w:val="single" w:sz="4" w:space="0" w:color="000000"/>
            </w:tcBorders>
            <w:vAlign w:val="center"/>
            <w:hideMark/>
          </w:tcPr>
          <w:p w14:paraId="47357511"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68D8E836" w14:textId="77777777" w:rsidR="002B6B63" w:rsidRPr="00BA1728" w:rsidRDefault="002B6B63" w:rsidP="00BA1728">
            <w:pPr>
              <w:spacing w:line="240" w:lineRule="auto"/>
              <w:rPr>
                <w:rFonts w:eastAsia="Times New Roman" w:cs="Calibri"/>
                <w:color w:val="000000"/>
                <w:sz w:val="14"/>
                <w:szCs w:val="14"/>
                <w:lang w:val="de-AT" w:eastAsia="de-AT"/>
              </w:rPr>
            </w:pP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14:paraId="6451540E" w14:textId="77777777" w:rsidR="002B6B63" w:rsidRPr="00BA1728" w:rsidRDefault="002B6B63" w:rsidP="00BA1728">
            <w:pPr>
              <w:spacing w:line="240" w:lineRule="auto"/>
              <w:rPr>
                <w:rFonts w:eastAsia="Times New Roman" w:cs="Calibri"/>
                <w:color w:val="000000"/>
                <w:sz w:val="14"/>
                <w:szCs w:val="14"/>
                <w:lang w:val="de-AT" w:eastAsia="de-AT"/>
              </w:rPr>
            </w:pPr>
          </w:p>
        </w:tc>
        <w:tc>
          <w:tcPr>
            <w:tcW w:w="992" w:type="dxa"/>
            <w:vMerge w:val="restart"/>
            <w:tcBorders>
              <w:top w:val="nil"/>
              <w:left w:val="single" w:sz="4" w:space="0" w:color="000000"/>
              <w:right w:val="single" w:sz="4" w:space="0" w:color="000000"/>
            </w:tcBorders>
            <w:shd w:val="clear" w:color="auto" w:fill="auto"/>
            <w:vAlign w:val="center"/>
            <w:hideMark/>
          </w:tcPr>
          <w:p w14:paraId="1F128144"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Lebend-</w:t>
            </w:r>
            <w:r w:rsidRPr="00BA1728">
              <w:rPr>
                <w:rFonts w:eastAsia="Times New Roman" w:cs="Calibri"/>
                <w:color w:val="000000"/>
                <w:sz w:val="14"/>
                <w:szCs w:val="14"/>
                <w:lang w:val="de-AT" w:eastAsia="de-AT"/>
              </w:rPr>
              <w:br/>
              <w:t>geborene</w:t>
            </w:r>
          </w:p>
        </w:tc>
        <w:tc>
          <w:tcPr>
            <w:tcW w:w="851" w:type="dxa"/>
            <w:vMerge w:val="restart"/>
            <w:tcBorders>
              <w:top w:val="nil"/>
              <w:left w:val="single" w:sz="4" w:space="0" w:color="000000"/>
              <w:right w:val="single" w:sz="4" w:space="0" w:color="000000"/>
            </w:tcBorders>
            <w:shd w:val="clear" w:color="auto" w:fill="auto"/>
            <w:vAlign w:val="center"/>
            <w:hideMark/>
          </w:tcPr>
          <w:p w14:paraId="23F5E1ED" w14:textId="4F2170BE" w:rsidR="002B6B63" w:rsidRPr="00BA1728" w:rsidRDefault="002B6B63" w:rsidP="00BA1728">
            <w:pPr>
              <w:spacing w:line="240" w:lineRule="auto"/>
              <w:jc w:val="center"/>
              <w:rPr>
                <w:rFonts w:eastAsia="Times New Roman" w:cs="Calibri"/>
                <w:color w:val="000000"/>
                <w:sz w:val="14"/>
                <w:szCs w:val="14"/>
                <w:lang w:val="de-AT" w:eastAsia="de-AT"/>
              </w:rPr>
            </w:pPr>
            <w:proofErr w:type="gramStart"/>
            <w:r w:rsidRPr="00BA1728">
              <w:rPr>
                <w:rFonts w:eastAsia="Times New Roman" w:cs="Calibri"/>
                <w:color w:val="000000"/>
                <w:sz w:val="14"/>
                <w:szCs w:val="14"/>
                <w:lang w:val="de-AT" w:eastAsia="de-AT"/>
              </w:rPr>
              <w:t>Sterbe</w:t>
            </w:r>
            <w:proofErr w:type="gramEnd"/>
            <w:r>
              <w:rPr>
                <w:rFonts w:eastAsia="Times New Roman" w:cs="Calibri"/>
                <w:color w:val="000000"/>
                <w:sz w:val="14"/>
                <w:szCs w:val="14"/>
                <w:lang w:val="de-AT" w:eastAsia="de-AT"/>
              </w:rPr>
              <w:t>-</w:t>
            </w:r>
            <w:r w:rsidRPr="00BA1728">
              <w:rPr>
                <w:rFonts w:eastAsia="Times New Roman" w:cs="Calibri"/>
                <w:color w:val="000000"/>
                <w:sz w:val="14"/>
                <w:szCs w:val="14"/>
                <w:lang w:val="de-AT" w:eastAsia="de-AT"/>
              </w:rPr>
              <w:t>fälle</w:t>
            </w:r>
          </w:p>
        </w:tc>
        <w:tc>
          <w:tcPr>
            <w:tcW w:w="697" w:type="dxa"/>
            <w:vMerge w:val="restart"/>
            <w:tcBorders>
              <w:top w:val="nil"/>
              <w:left w:val="single" w:sz="4" w:space="0" w:color="000000"/>
              <w:right w:val="single" w:sz="4" w:space="0" w:color="000000"/>
            </w:tcBorders>
            <w:shd w:val="clear" w:color="auto" w:fill="auto"/>
            <w:vAlign w:val="center"/>
            <w:hideMark/>
          </w:tcPr>
          <w:p w14:paraId="2AE8FADE" w14:textId="12E9CBDB"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Saldo</w:t>
            </w:r>
          </w:p>
        </w:tc>
        <w:tc>
          <w:tcPr>
            <w:tcW w:w="711" w:type="dxa"/>
            <w:vMerge w:val="restart"/>
            <w:tcBorders>
              <w:top w:val="nil"/>
              <w:left w:val="single" w:sz="4" w:space="0" w:color="000000"/>
              <w:right w:val="single" w:sz="4" w:space="0" w:color="000000"/>
            </w:tcBorders>
            <w:shd w:val="clear" w:color="auto" w:fill="auto"/>
            <w:vAlign w:val="center"/>
            <w:hideMark/>
          </w:tcPr>
          <w:p w14:paraId="46ECF236"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Zuzüge</w:t>
            </w:r>
          </w:p>
        </w:tc>
        <w:tc>
          <w:tcPr>
            <w:tcW w:w="882" w:type="dxa"/>
            <w:vMerge w:val="restart"/>
            <w:tcBorders>
              <w:top w:val="nil"/>
              <w:left w:val="single" w:sz="4" w:space="0" w:color="000000"/>
              <w:right w:val="single" w:sz="4" w:space="0" w:color="000000"/>
            </w:tcBorders>
            <w:shd w:val="clear" w:color="auto" w:fill="auto"/>
            <w:vAlign w:val="center"/>
            <w:hideMark/>
          </w:tcPr>
          <w:p w14:paraId="0B14DA1C"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Wegzüge</w:t>
            </w:r>
          </w:p>
        </w:tc>
        <w:tc>
          <w:tcPr>
            <w:tcW w:w="850" w:type="dxa"/>
            <w:vMerge w:val="restart"/>
            <w:tcBorders>
              <w:top w:val="nil"/>
              <w:left w:val="single" w:sz="4" w:space="0" w:color="000000"/>
              <w:right w:val="single" w:sz="4" w:space="0" w:color="000000"/>
            </w:tcBorders>
            <w:shd w:val="clear" w:color="auto" w:fill="auto"/>
            <w:vAlign w:val="center"/>
            <w:hideMark/>
          </w:tcPr>
          <w:p w14:paraId="3A002B81"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Saldo</w:t>
            </w:r>
          </w:p>
        </w:tc>
        <w:tc>
          <w:tcPr>
            <w:tcW w:w="658" w:type="dxa"/>
            <w:tcBorders>
              <w:top w:val="nil"/>
              <w:left w:val="single" w:sz="4" w:space="0" w:color="000000"/>
              <w:right w:val="single" w:sz="4" w:space="0" w:color="000000"/>
            </w:tcBorders>
            <w:shd w:val="clear" w:color="auto" w:fill="auto"/>
            <w:vAlign w:val="center"/>
            <w:hideMark/>
          </w:tcPr>
          <w:p w14:paraId="3391CAB5"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Zuzüge</w:t>
            </w:r>
          </w:p>
        </w:tc>
        <w:tc>
          <w:tcPr>
            <w:tcW w:w="819" w:type="dxa"/>
            <w:tcBorders>
              <w:top w:val="nil"/>
              <w:left w:val="single" w:sz="4" w:space="0" w:color="000000"/>
              <w:right w:val="single" w:sz="4" w:space="0" w:color="000000"/>
            </w:tcBorders>
            <w:shd w:val="clear" w:color="auto" w:fill="auto"/>
            <w:vAlign w:val="center"/>
            <w:hideMark/>
          </w:tcPr>
          <w:p w14:paraId="7B1A493B"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Wegzüge</w:t>
            </w:r>
          </w:p>
        </w:tc>
        <w:tc>
          <w:tcPr>
            <w:tcW w:w="876" w:type="dxa"/>
            <w:tcBorders>
              <w:top w:val="nil"/>
              <w:left w:val="single" w:sz="4" w:space="0" w:color="000000"/>
              <w:right w:val="single" w:sz="4" w:space="0" w:color="000000"/>
            </w:tcBorders>
            <w:shd w:val="clear" w:color="auto" w:fill="auto"/>
            <w:vAlign w:val="center"/>
            <w:hideMark/>
          </w:tcPr>
          <w:p w14:paraId="3A786793"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Saldo</w:t>
            </w:r>
          </w:p>
        </w:tc>
        <w:tc>
          <w:tcPr>
            <w:tcW w:w="658" w:type="dxa"/>
            <w:tcBorders>
              <w:top w:val="nil"/>
              <w:left w:val="single" w:sz="4" w:space="0" w:color="000000"/>
              <w:right w:val="single" w:sz="4" w:space="0" w:color="000000"/>
            </w:tcBorders>
            <w:shd w:val="clear" w:color="auto" w:fill="auto"/>
            <w:vAlign w:val="center"/>
            <w:hideMark/>
          </w:tcPr>
          <w:p w14:paraId="382A5815"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Zuzüge</w:t>
            </w:r>
          </w:p>
        </w:tc>
        <w:tc>
          <w:tcPr>
            <w:tcW w:w="851" w:type="dxa"/>
            <w:tcBorders>
              <w:top w:val="nil"/>
              <w:left w:val="single" w:sz="4" w:space="0" w:color="000000"/>
              <w:right w:val="single" w:sz="4" w:space="0" w:color="000000"/>
            </w:tcBorders>
            <w:shd w:val="clear" w:color="auto" w:fill="auto"/>
            <w:vAlign w:val="center"/>
            <w:hideMark/>
          </w:tcPr>
          <w:p w14:paraId="4B81E3C3"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Wegzüge</w:t>
            </w:r>
          </w:p>
        </w:tc>
        <w:tc>
          <w:tcPr>
            <w:tcW w:w="567" w:type="dxa"/>
            <w:tcBorders>
              <w:top w:val="nil"/>
              <w:left w:val="single" w:sz="4" w:space="0" w:color="000000"/>
              <w:right w:val="single" w:sz="4" w:space="0" w:color="000000"/>
            </w:tcBorders>
            <w:shd w:val="clear" w:color="auto" w:fill="auto"/>
            <w:vAlign w:val="center"/>
            <w:hideMark/>
          </w:tcPr>
          <w:p w14:paraId="510B8A47"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Saldo</w:t>
            </w:r>
          </w:p>
        </w:tc>
        <w:tc>
          <w:tcPr>
            <w:tcW w:w="845" w:type="dxa"/>
            <w:vMerge/>
            <w:tcBorders>
              <w:left w:val="single" w:sz="4" w:space="0" w:color="000000"/>
              <w:right w:val="single" w:sz="4" w:space="0" w:color="000000"/>
            </w:tcBorders>
            <w:vAlign w:val="center"/>
            <w:hideMark/>
          </w:tcPr>
          <w:p w14:paraId="42C4A8D9" w14:textId="77777777" w:rsidR="002B6B63" w:rsidRPr="00BA1728" w:rsidRDefault="002B6B63" w:rsidP="00BA1728">
            <w:pPr>
              <w:spacing w:line="240" w:lineRule="auto"/>
              <w:rPr>
                <w:rFonts w:eastAsia="Times New Roman" w:cs="Calibri"/>
                <w:color w:val="000000"/>
                <w:sz w:val="14"/>
                <w:szCs w:val="14"/>
                <w:lang w:val="de-AT" w:eastAsia="de-AT"/>
              </w:rPr>
            </w:pPr>
          </w:p>
        </w:tc>
        <w:tc>
          <w:tcPr>
            <w:tcW w:w="533" w:type="dxa"/>
            <w:gridSpan w:val="2"/>
            <w:vMerge/>
            <w:tcBorders>
              <w:left w:val="single" w:sz="4" w:space="0" w:color="000000"/>
              <w:right w:val="single" w:sz="4" w:space="0" w:color="000000"/>
            </w:tcBorders>
            <w:vAlign w:val="center"/>
            <w:hideMark/>
          </w:tcPr>
          <w:p w14:paraId="0D8E6B9F"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09" w:type="dxa"/>
            <w:gridSpan w:val="2"/>
            <w:vMerge/>
            <w:tcBorders>
              <w:left w:val="single" w:sz="4" w:space="0" w:color="000000"/>
              <w:right w:val="nil"/>
            </w:tcBorders>
            <w:vAlign w:val="center"/>
            <w:hideMark/>
          </w:tcPr>
          <w:p w14:paraId="2BC35D9F" w14:textId="77777777" w:rsidR="002B6B63" w:rsidRPr="00BA1728" w:rsidRDefault="002B6B63" w:rsidP="00BA1728">
            <w:pPr>
              <w:spacing w:line="240" w:lineRule="auto"/>
              <w:rPr>
                <w:rFonts w:eastAsia="Times New Roman" w:cs="Calibri"/>
                <w:color w:val="000000"/>
                <w:sz w:val="14"/>
                <w:szCs w:val="14"/>
                <w:lang w:val="de-AT" w:eastAsia="de-AT"/>
              </w:rPr>
            </w:pPr>
          </w:p>
        </w:tc>
      </w:tr>
      <w:tr w:rsidR="002B6B63" w:rsidRPr="00BA1728" w14:paraId="0F4131FA" w14:textId="77777777" w:rsidTr="002B6B63">
        <w:trPr>
          <w:trHeight w:val="480"/>
        </w:trPr>
        <w:tc>
          <w:tcPr>
            <w:tcW w:w="1133" w:type="dxa"/>
            <w:vMerge/>
            <w:tcBorders>
              <w:top w:val="single" w:sz="4" w:space="0" w:color="000000"/>
              <w:left w:val="nil"/>
              <w:bottom w:val="single" w:sz="4" w:space="0" w:color="000000"/>
              <w:right w:val="single" w:sz="4" w:space="0" w:color="000000"/>
            </w:tcBorders>
            <w:vAlign w:val="center"/>
            <w:hideMark/>
          </w:tcPr>
          <w:p w14:paraId="639C4A57"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7DDCDB79"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81" w:type="dxa"/>
            <w:tcBorders>
              <w:top w:val="nil"/>
              <w:left w:val="nil"/>
              <w:bottom w:val="nil"/>
              <w:right w:val="single" w:sz="4" w:space="0" w:color="000000"/>
            </w:tcBorders>
            <w:shd w:val="clear" w:color="auto" w:fill="auto"/>
            <w:vAlign w:val="center"/>
            <w:hideMark/>
          </w:tcPr>
          <w:p w14:paraId="1CDC9D88"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absolut</w:t>
            </w:r>
          </w:p>
        </w:tc>
        <w:tc>
          <w:tcPr>
            <w:tcW w:w="850" w:type="dxa"/>
            <w:tcBorders>
              <w:top w:val="nil"/>
              <w:left w:val="nil"/>
              <w:bottom w:val="nil"/>
              <w:right w:val="single" w:sz="4" w:space="0" w:color="000000"/>
            </w:tcBorders>
            <w:shd w:val="clear" w:color="auto" w:fill="auto"/>
            <w:vAlign w:val="center"/>
            <w:hideMark/>
          </w:tcPr>
          <w:p w14:paraId="56942586" w14:textId="77777777" w:rsidR="002B6B63" w:rsidRPr="00BA1728" w:rsidRDefault="002B6B63" w:rsidP="00BA1728">
            <w:pPr>
              <w:spacing w:line="240" w:lineRule="auto"/>
              <w:jc w:val="center"/>
              <w:rPr>
                <w:rFonts w:eastAsia="Times New Roman" w:cs="Calibri"/>
                <w:color w:val="000000"/>
                <w:sz w:val="14"/>
                <w:szCs w:val="14"/>
                <w:lang w:val="de-AT" w:eastAsia="de-AT"/>
              </w:rPr>
            </w:pPr>
            <w:r w:rsidRPr="00BA1728">
              <w:rPr>
                <w:rFonts w:eastAsia="Times New Roman" w:cs="Calibri"/>
                <w:color w:val="000000"/>
                <w:sz w:val="14"/>
                <w:szCs w:val="14"/>
                <w:lang w:val="de-AT" w:eastAsia="de-AT"/>
              </w:rPr>
              <w:t>je 1 000</w:t>
            </w:r>
            <w:r w:rsidRPr="00BA1728">
              <w:rPr>
                <w:rFonts w:eastAsia="Times New Roman" w:cs="Calibri"/>
                <w:color w:val="000000"/>
                <w:sz w:val="14"/>
                <w:szCs w:val="14"/>
                <w:lang w:val="de-AT" w:eastAsia="de-AT"/>
              </w:rPr>
              <w:br/>
              <w:t>der Bev.</w:t>
            </w:r>
          </w:p>
        </w:tc>
        <w:tc>
          <w:tcPr>
            <w:tcW w:w="992" w:type="dxa"/>
            <w:vMerge/>
            <w:tcBorders>
              <w:left w:val="single" w:sz="4" w:space="0" w:color="000000"/>
              <w:bottom w:val="single" w:sz="4" w:space="0" w:color="000000"/>
              <w:right w:val="single" w:sz="4" w:space="0" w:color="000000"/>
            </w:tcBorders>
            <w:vAlign w:val="center"/>
            <w:hideMark/>
          </w:tcPr>
          <w:p w14:paraId="0C706B96"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51" w:type="dxa"/>
            <w:vMerge/>
            <w:tcBorders>
              <w:left w:val="single" w:sz="4" w:space="0" w:color="000000"/>
              <w:bottom w:val="single" w:sz="4" w:space="0" w:color="000000"/>
              <w:right w:val="single" w:sz="4" w:space="0" w:color="000000"/>
            </w:tcBorders>
            <w:vAlign w:val="center"/>
            <w:hideMark/>
          </w:tcPr>
          <w:p w14:paraId="4FDC0E2B" w14:textId="77777777" w:rsidR="002B6B63" w:rsidRPr="00BA1728" w:rsidRDefault="002B6B63" w:rsidP="00BA1728">
            <w:pPr>
              <w:spacing w:line="240" w:lineRule="auto"/>
              <w:rPr>
                <w:rFonts w:eastAsia="Times New Roman" w:cs="Calibri"/>
                <w:color w:val="000000"/>
                <w:sz w:val="14"/>
                <w:szCs w:val="14"/>
                <w:lang w:val="de-AT" w:eastAsia="de-AT"/>
              </w:rPr>
            </w:pPr>
          </w:p>
        </w:tc>
        <w:tc>
          <w:tcPr>
            <w:tcW w:w="697" w:type="dxa"/>
            <w:vMerge/>
            <w:tcBorders>
              <w:left w:val="single" w:sz="4" w:space="0" w:color="000000"/>
              <w:bottom w:val="nil"/>
              <w:right w:val="single" w:sz="4" w:space="0" w:color="000000"/>
            </w:tcBorders>
            <w:vAlign w:val="center"/>
            <w:hideMark/>
          </w:tcPr>
          <w:p w14:paraId="481855B2"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11" w:type="dxa"/>
            <w:vMerge/>
            <w:tcBorders>
              <w:left w:val="single" w:sz="4" w:space="0" w:color="000000"/>
              <w:bottom w:val="single" w:sz="4" w:space="0" w:color="000000"/>
              <w:right w:val="single" w:sz="4" w:space="0" w:color="000000"/>
            </w:tcBorders>
            <w:vAlign w:val="center"/>
            <w:hideMark/>
          </w:tcPr>
          <w:p w14:paraId="689C71D7"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82" w:type="dxa"/>
            <w:vMerge/>
            <w:tcBorders>
              <w:left w:val="single" w:sz="4" w:space="0" w:color="000000"/>
              <w:bottom w:val="single" w:sz="4" w:space="0" w:color="000000"/>
              <w:right w:val="single" w:sz="4" w:space="0" w:color="000000"/>
            </w:tcBorders>
            <w:vAlign w:val="center"/>
            <w:hideMark/>
          </w:tcPr>
          <w:p w14:paraId="54C83FB0"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50" w:type="dxa"/>
            <w:vMerge/>
            <w:tcBorders>
              <w:left w:val="single" w:sz="4" w:space="0" w:color="000000"/>
              <w:bottom w:val="nil"/>
              <w:right w:val="single" w:sz="4" w:space="0" w:color="000000"/>
            </w:tcBorders>
            <w:vAlign w:val="center"/>
            <w:hideMark/>
          </w:tcPr>
          <w:p w14:paraId="21402313" w14:textId="77777777" w:rsidR="002B6B63" w:rsidRPr="00BA1728" w:rsidRDefault="002B6B63" w:rsidP="00BA1728">
            <w:pPr>
              <w:spacing w:line="240" w:lineRule="auto"/>
              <w:rPr>
                <w:rFonts w:eastAsia="Times New Roman" w:cs="Calibri"/>
                <w:color w:val="000000"/>
                <w:sz w:val="14"/>
                <w:szCs w:val="14"/>
                <w:lang w:val="de-AT" w:eastAsia="de-AT"/>
              </w:rPr>
            </w:pPr>
          </w:p>
        </w:tc>
        <w:tc>
          <w:tcPr>
            <w:tcW w:w="658" w:type="dxa"/>
            <w:tcBorders>
              <w:left w:val="single" w:sz="4" w:space="0" w:color="000000"/>
              <w:bottom w:val="single" w:sz="4" w:space="0" w:color="000000"/>
              <w:right w:val="single" w:sz="4" w:space="0" w:color="000000"/>
            </w:tcBorders>
            <w:vAlign w:val="center"/>
            <w:hideMark/>
          </w:tcPr>
          <w:p w14:paraId="348E451A"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19" w:type="dxa"/>
            <w:tcBorders>
              <w:left w:val="single" w:sz="4" w:space="0" w:color="000000"/>
              <w:bottom w:val="single" w:sz="4" w:space="0" w:color="000000"/>
              <w:right w:val="single" w:sz="4" w:space="0" w:color="000000"/>
            </w:tcBorders>
            <w:vAlign w:val="center"/>
            <w:hideMark/>
          </w:tcPr>
          <w:p w14:paraId="50FDCEEF"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76" w:type="dxa"/>
            <w:tcBorders>
              <w:left w:val="single" w:sz="4" w:space="0" w:color="000000"/>
              <w:bottom w:val="nil"/>
              <w:right w:val="single" w:sz="4" w:space="0" w:color="000000"/>
            </w:tcBorders>
            <w:vAlign w:val="center"/>
            <w:hideMark/>
          </w:tcPr>
          <w:p w14:paraId="33F89485" w14:textId="77777777" w:rsidR="002B6B63" w:rsidRPr="00BA1728" w:rsidRDefault="002B6B63" w:rsidP="00BA1728">
            <w:pPr>
              <w:spacing w:line="240" w:lineRule="auto"/>
              <w:rPr>
                <w:rFonts w:eastAsia="Times New Roman" w:cs="Calibri"/>
                <w:color w:val="000000"/>
                <w:sz w:val="14"/>
                <w:szCs w:val="14"/>
                <w:lang w:val="de-AT" w:eastAsia="de-AT"/>
              </w:rPr>
            </w:pPr>
          </w:p>
        </w:tc>
        <w:tc>
          <w:tcPr>
            <w:tcW w:w="658" w:type="dxa"/>
            <w:tcBorders>
              <w:left w:val="single" w:sz="4" w:space="0" w:color="000000"/>
              <w:bottom w:val="single" w:sz="4" w:space="0" w:color="000000"/>
              <w:right w:val="single" w:sz="4" w:space="0" w:color="000000"/>
            </w:tcBorders>
            <w:vAlign w:val="center"/>
            <w:hideMark/>
          </w:tcPr>
          <w:p w14:paraId="62668928"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51" w:type="dxa"/>
            <w:tcBorders>
              <w:left w:val="single" w:sz="4" w:space="0" w:color="000000"/>
              <w:bottom w:val="single" w:sz="4" w:space="0" w:color="000000"/>
              <w:right w:val="single" w:sz="4" w:space="0" w:color="000000"/>
            </w:tcBorders>
            <w:vAlign w:val="center"/>
            <w:hideMark/>
          </w:tcPr>
          <w:p w14:paraId="12A8B161" w14:textId="77777777" w:rsidR="002B6B63" w:rsidRPr="00BA1728" w:rsidRDefault="002B6B63" w:rsidP="00BA1728">
            <w:pPr>
              <w:spacing w:line="240" w:lineRule="auto"/>
              <w:rPr>
                <w:rFonts w:eastAsia="Times New Roman" w:cs="Calibri"/>
                <w:color w:val="000000"/>
                <w:sz w:val="14"/>
                <w:szCs w:val="14"/>
                <w:lang w:val="de-AT" w:eastAsia="de-AT"/>
              </w:rPr>
            </w:pPr>
          </w:p>
        </w:tc>
        <w:tc>
          <w:tcPr>
            <w:tcW w:w="567" w:type="dxa"/>
            <w:tcBorders>
              <w:left w:val="single" w:sz="4" w:space="0" w:color="000000"/>
              <w:bottom w:val="nil"/>
              <w:right w:val="single" w:sz="4" w:space="0" w:color="000000"/>
            </w:tcBorders>
            <w:vAlign w:val="center"/>
            <w:hideMark/>
          </w:tcPr>
          <w:p w14:paraId="6CA994A7" w14:textId="77777777" w:rsidR="002B6B63" w:rsidRPr="00BA1728" w:rsidRDefault="002B6B63" w:rsidP="00BA1728">
            <w:pPr>
              <w:spacing w:line="240" w:lineRule="auto"/>
              <w:rPr>
                <w:rFonts w:eastAsia="Times New Roman" w:cs="Calibri"/>
                <w:color w:val="000000"/>
                <w:sz w:val="14"/>
                <w:szCs w:val="14"/>
                <w:lang w:val="de-AT" w:eastAsia="de-AT"/>
              </w:rPr>
            </w:pPr>
          </w:p>
        </w:tc>
        <w:tc>
          <w:tcPr>
            <w:tcW w:w="854" w:type="dxa"/>
            <w:gridSpan w:val="2"/>
            <w:tcBorders>
              <w:left w:val="single" w:sz="4" w:space="0" w:color="000000"/>
              <w:bottom w:val="single" w:sz="4" w:space="0" w:color="000000"/>
              <w:right w:val="single" w:sz="4" w:space="0" w:color="000000"/>
            </w:tcBorders>
            <w:vAlign w:val="center"/>
            <w:hideMark/>
          </w:tcPr>
          <w:p w14:paraId="40B8B045" w14:textId="77777777" w:rsidR="002B6B63" w:rsidRPr="00BA1728" w:rsidRDefault="002B6B63" w:rsidP="00BA1728">
            <w:pPr>
              <w:spacing w:line="240" w:lineRule="auto"/>
              <w:rPr>
                <w:rFonts w:eastAsia="Times New Roman" w:cs="Calibri"/>
                <w:color w:val="000000"/>
                <w:sz w:val="14"/>
                <w:szCs w:val="14"/>
                <w:lang w:val="de-AT" w:eastAsia="de-AT"/>
              </w:rPr>
            </w:pPr>
          </w:p>
        </w:tc>
        <w:tc>
          <w:tcPr>
            <w:tcW w:w="533" w:type="dxa"/>
            <w:gridSpan w:val="2"/>
            <w:tcBorders>
              <w:left w:val="single" w:sz="4" w:space="0" w:color="000000"/>
              <w:bottom w:val="single" w:sz="4" w:space="0" w:color="000000"/>
              <w:right w:val="single" w:sz="4" w:space="0" w:color="000000"/>
            </w:tcBorders>
            <w:vAlign w:val="center"/>
            <w:hideMark/>
          </w:tcPr>
          <w:p w14:paraId="084F2C99" w14:textId="77777777" w:rsidR="002B6B63" w:rsidRPr="00BA1728" w:rsidRDefault="002B6B63" w:rsidP="00BA1728">
            <w:pPr>
              <w:spacing w:line="240" w:lineRule="auto"/>
              <w:rPr>
                <w:rFonts w:eastAsia="Times New Roman" w:cs="Calibri"/>
                <w:color w:val="000000"/>
                <w:sz w:val="14"/>
                <w:szCs w:val="14"/>
                <w:lang w:val="de-AT" w:eastAsia="de-AT"/>
              </w:rPr>
            </w:pPr>
          </w:p>
        </w:tc>
        <w:tc>
          <w:tcPr>
            <w:tcW w:w="709" w:type="dxa"/>
            <w:gridSpan w:val="2"/>
            <w:tcBorders>
              <w:left w:val="single" w:sz="4" w:space="0" w:color="000000"/>
              <w:bottom w:val="single" w:sz="4" w:space="0" w:color="000000"/>
              <w:right w:val="nil"/>
            </w:tcBorders>
            <w:vAlign w:val="center"/>
            <w:hideMark/>
          </w:tcPr>
          <w:p w14:paraId="606EA1C7" w14:textId="77777777" w:rsidR="002B6B63" w:rsidRPr="00BA1728" w:rsidRDefault="002B6B63" w:rsidP="00BA1728">
            <w:pPr>
              <w:spacing w:line="240" w:lineRule="auto"/>
              <w:rPr>
                <w:rFonts w:eastAsia="Times New Roman" w:cs="Calibri"/>
                <w:color w:val="000000"/>
                <w:sz w:val="14"/>
                <w:szCs w:val="14"/>
                <w:lang w:val="de-AT" w:eastAsia="de-AT"/>
              </w:rPr>
            </w:pPr>
          </w:p>
        </w:tc>
      </w:tr>
      <w:tr w:rsidR="00BA1728" w:rsidRPr="00BA1728" w14:paraId="12408839" w14:textId="77777777" w:rsidTr="002B6B63">
        <w:trPr>
          <w:trHeight w:val="276"/>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6FFC3" w14:textId="77777777"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Waldviertel</w:t>
            </w:r>
          </w:p>
        </w:tc>
        <w:tc>
          <w:tcPr>
            <w:tcW w:w="779" w:type="dxa"/>
            <w:tcBorders>
              <w:top w:val="single" w:sz="4" w:space="0" w:color="auto"/>
              <w:left w:val="nil"/>
              <w:bottom w:val="single" w:sz="4" w:space="0" w:color="auto"/>
              <w:right w:val="single" w:sz="4" w:space="0" w:color="auto"/>
            </w:tcBorders>
            <w:shd w:val="clear" w:color="auto" w:fill="auto"/>
            <w:noWrap/>
            <w:vAlign w:val="bottom"/>
            <w:hideMark/>
          </w:tcPr>
          <w:p w14:paraId="1A2EC1A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215.650</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EC8913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804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76D6F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3,72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22D87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1.752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D63ECB"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2.931</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5233C01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-1.179</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65E3EF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7.754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08A1DA6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5.761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43768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1.993</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6B2626B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3.437</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31A79A3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1.582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05D2F25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1.855</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08A7B15A"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4.317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4B709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4.179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2AE86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138</w:t>
            </w:r>
          </w:p>
        </w:tc>
        <w:tc>
          <w:tcPr>
            <w:tcW w:w="8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21D2C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10.158</w:t>
            </w:r>
          </w:p>
        </w:tc>
        <w:tc>
          <w:tcPr>
            <w:tcW w:w="5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A06B7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-10</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47BD9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216.454</w:t>
            </w:r>
          </w:p>
        </w:tc>
      </w:tr>
      <w:tr w:rsidR="00BA1728" w:rsidRPr="00BA1728" w14:paraId="23E352ED"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50B6A1B0" w14:textId="4C60C00E"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Krems Stadt</w:t>
            </w:r>
          </w:p>
        </w:tc>
        <w:tc>
          <w:tcPr>
            <w:tcW w:w="779" w:type="dxa"/>
            <w:tcBorders>
              <w:top w:val="nil"/>
              <w:left w:val="nil"/>
              <w:bottom w:val="single" w:sz="4" w:space="0" w:color="auto"/>
              <w:right w:val="single" w:sz="4" w:space="0" w:color="auto"/>
            </w:tcBorders>
            <w:shd w:val="clear" w:color="auto" w:fill="auto"/>
            <w:noWrap/>
            <w:vAlign w:val="bottom"/>
            <w:hideMark/>
          </w:tcPr>
          <w:p w14:paraId="0965B28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24.921</w:t>
            </w:r>
          </w:p>
        </w:tc>
        <w:tc>
          <w:tcPr>
            <w:tcW w:w="781" w:type="dxa"/>
            <w:tcBorders>
              <w:top w:val="nil"/>
              <w:left w:val="nil"/>
              <w:bottom w:val="single" w:sz="4" w:space="0" w:color="auto"/>
              <w:right w:val="single" w:sz="4" w:space="0" w:color="auto"/>
            </w:tcBorders>
            <w:shd w:val="clear" w:color="auto" w:fill="auto"/>
            <w:noWrap/>
            <w:vAlign w:val="bottom"/>
            <w:hideMark/>
          </w:tcPr>
          <w:p w14:paraId="1D7DE95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350 </w:t>
            </w:r>
          </w:p>
        </w:tc>
        <w:tc>
          <w:tcPr>
            <w:tcW w:w="850" w:type="dxa"/>
            <w:tcBorders>
              <w:top w:val="nil"/>
              <w:left w:val="nil"/>
              <w:bottom w:val="single" w:sz="4" w:space="0" w:color="auto"/>
              <w:right w:val="single" w:sz="4" w:space="0" w:color="auto"/>
            </w:tcBorders>
            <w:shd w:val="clear" w:color="auto" w:fill="auto"/>
            <w:noWrap/>
            <w:vAlign w:val="bottom"/>
            <w:hideMark/>
          </w:tcPr>
          <w:p w14:paraId="026D665B"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13,95 </w:t>
            </w:r>
          </w:p>
        </w:tc>
        <w:tc>
          <w:tcPr>
            <w:tcW w:w="992" w:type="dxa"/>
            <w:tcBorders>
              <w:top w:val="nil"/>
              <w:left w:val="nil"/>
              <w:bottom w:val="single" w:sz="4" w:space="0" w:color="auto"/>
              <w:right w:val="single" w:sz="4" w:space="0" w:color="auto"/>
            </w:tcBorders>
            <w:shd w:val="clear" w:color="auto" w:fill="auto"/>
            <w:noWrap/>
            <w:vAlign w:val="bottom"/>
            <w:hideMark/>
          </w:tcPr>
          <w:p w14:paraId="39FC69E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205</w:t>
            </w:r>
          </w:p>
        </w:tc>
        <w:tc>
          <w:tcPr>
            <w:tcW w:w="851" w:type="dxa"/>
            <w:tcBorders>
              <w:top w:val="nil"/>
              <w:left w:val="nil"/>
              <w:bottom w:val="single" w:sz="4" w:space="0" w:color="auto"/>
              <w:right w:val="single" w:sz="4" w:space="0" w:color="auto"/>
            </w:tcBorders>
            <w:shd w:val="clear" w:color="auto" w:fill="auto"/>
            <w:noWrap/>
            <w:vAlign w:val="bottom"/>
            <w:hideMark/>
          </w:tcPr>
          <w:p w14:paraId="2378A42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303</w:t>
            </w:r>
          </w:p>
        </w:tc>
        <w:tc>
          <w:tcPr>
            <w:tcW w:w="697" w:type="dxa"/>
            <w:tcBorders>
              <w:top w:val="nil"/>
              <w:left w:val="nil"/>
              <w:bottom w:val="single" w:sz="4" w:space="0" w:color="auto"/>
              <w:right w:val="single" w:sz="4" w:space="0" w:color="auto"/>
            </w:tcBorders>
            <w:shd w:val="clear" w:color="auto" w:fill="auto"/>
            <w:noWrap/>
            <w:vAlign w:val="bottom"/>
            <w:hideMark/>
          </w:tcPr>
          <w:p w14:paraId="663D809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-98</w:t>
            </w:r>
          </w:p>
        </w:tc>
        <w:tc>
          <w:tcPr>
            <w:tcW w:w="711" w:type="dxa"/>
            <w:tcBorders>
              <w:top w:val="nil"/>
              <w:left w:val="nil"/>
              <w:bottom w:val="single" w:sz="4" w:space="0" w:color="auto"/>
              <w:right w:val="single" w:sz="4" w:space="0" w:color="auto"/>
            </w:tcBorders>
            <w:shd w:val="clear" w:color="auto" w:fill="auto"/>
            <w:noWrap/>
            <w:vAlign w:val="bottom"/>
            <w:hideMark/>
          </w:tcPr>
          <w:p w14:paraId="607A412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2.684</w:t>
            </w:r>
          </w:p>
        </w:tc>
        <w:tc>
          <w:tcPr>
            <w:tcW w:w="882" w:type="dxa"/>
            <w:tcBorders>
              <w:top w:val="nil"/>
              <w:left w:val="nil"/>
              <w:bottom w:val="single" w:sz="4" w:space="0" w:color="auto"/>
              <w:right w:val="single" w:sz="4" w:space="0" w:color="auto"/>
            </w:tcBorders>
            <w:shd w:val="clear" w:color="auto" w:fill="auto"/>
            <w:noWrap/>
            <w:vAlign w:val="bottom"/>
            <w:hideMark/>
          </w:tcPr>
          <w:p w14:paraId="4D23108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2.235</w:t>
            </w:r>
          </w:p>
        </w:tc>
        <w:tc>
          <w:tcPr>
            <w:tcW w:w="850" w:type="dxa"/>
            <w:tcBorders>
              <w:top w:val="nil"/>
              <w:left w:val="nil"/>
              <w:bottom w:val="single" w:sz="4" w:space="0" w:color="auto"/>
              <w:right w:val="single" w:sz="4" w:space="0" w:color="auto"/>
            </w:tcBorders>
            <w:shd w:val="clear" w:color="auto" w:fill="auto"/>
            <w:noWrap/>
            <w:vAlign w:val="bottom"/>
            <w:hideMark/>
          </w:tcPr>
          <w:p w14:paraId="553EA35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449</w:t>
            </w:r>
          </w:p>
        </w:tc>
        <w:tc>
          <w:tcPr>
            <w:tcW w:w="658" w:type="dxa"/>
            <w:tcBorders>
              <w:top w:val="nil"/>
              <w:left w:val="nil"/>
              <w:bottom w:val="single" w:sz="4" w:space="0" w:color="auto"/>
              <w:right w:val="single" w:sz="4" w:space="0" w:color="auto"/>
            </w:tcBorders>
            <w:shd w:val="clear" w:color="auto" w:fill="auto"/>
            <w:noWrap/>
            <w:vAlign w:val="bottom"/>
            <w:hideMark/>
          </w:tcPr>
          <w:p w14:paraId="5F0D7B0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855</w:t>
            </w:r>
          </w:p>
        </w:tc>
        <w:tc>
          <w:tcPr>
            <w:tcW w:w="819" w:type="dxa"/>
            <w:tcBorders>
              <w:top w:val="nil"/>
              <w:left w:val="nil"/>
              <w:bottom w:val="single" w:sz="4" w:space="0" w:color="auto"/>
              <w:right w:val="single" w:sz="4" w:space="0" w:color="auto"/>
            </w:tcBorders>
            <w:shd w:val="clear" w:color="auto" w:fill="auto"/>
            <w:noWrap/>
            <w:vAlign w:val="bottom"/>
            <w:hideMark/>
          </w:tcPr>
          <w:p w14:paraId="2335926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546</w:t>
            </w:r>
          </w:p>
        </w:tc>
        <w:tc>
          <w:tcPr>
            <w:tcW w:w="876" w:type="dxa"/>
            <w:tcBorders>
              <w:top w:val="nil"/>
              <w:left w:val="nil"/>
              <w:bottom w:val="single" w:sz="4" w:space="0" w:color="auto"/>
              <w:right w:val="single" w:sz="4" w:space="0" w:color="auto"/>
            </w:tcBorders>
            <w:shd w:val="clear" w:color="auto" w:fill="auto"/>
            <w:noWrap/>
            <w:vAlign w:val="bottom"/>
            <w:hideMark/>
          </w:tcPr>
          <w:p w14:paraId="593DA77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309</w:t>
            </w:r>
          </w:p>
        </w:tc>
        <w:tc>
          <w:tcPr>
            <w:tcW w:w="658" w:type="dxa"/>
            <w:tcBorders>
              <w:top w:val="nil"/>
              <w:left w:val="nil"/>
              <w:bottom w:val="single" w:sz="4" w:space="0" w:color="auto"/>
              <w:right w:val="single" w:sz="4" w:space="0" w:color="auto"/>
            </w:tcBorders>
            <w:shd w:val="clear" w:color="auto" w:fill="auto"/>
            <w:noWrap/>
            <w:vAlign w:val="bottom"/>
            <w:hideMark/>
          </w:tcPr>
          <w:p w14:paraId="2D4DA53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1.829</w:t>
            </w:r>
          </w:p>
        </w:tc>
        <w:tc>
          <w:tcPr>
            <w:tcW w:w="851" w:type="dxa"/>
            <w:tcBorders>
              <w:top w:val="nil"/>
              <w:left w:val="nil"/>
              <w:bottom w:val="single" w:sz="4" w:space="0" w:color="auto"/>
              <w:right w:val="single" w:sz="4" w:space="0" w:color="auto"/>
            </w:tcBorders>
            <w:shd w:val="clear" w:color="auto" w:fill="auto"/>
            <w:noWrap/>
            <w:vAlign w:val="bottom"/>
            <w:hideMark/>
          </w:tcPr>
          <w:p w14:paraId="16C72E6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1.689</w:t>
            </w:r>
          </w:p>
        </w:tc>
        <w:tc>
          <w:tcPr>
            <w:tcW w:w="567" w:type="dxa"/>
            <w:tcBorders>
              <w:top w:val="nil"/>
              <w:left w:val="nil"/>
              <w:bottom w:val="single" w:sz="4" w:space="0" w:color="auto"/>
              <w:right w:val="single" w:sz="4" w:space="0" w:color="auto"/>
            </w:tcBorders>
            <w:shd w:val="clear" w:color="auto" w:fill="auto"/>
            <w:noWrap/>
            <w:vAlign w:val="bottom"/>
            <w:hideMark/>
          </w:tcPr>
          <w:p w14:paraId="724C0AF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140</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6A4CC47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1.369</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1E1A38CA"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6F01674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25.271</w:t>
            </w:r>
          </w:p>
        </w:tc>
      </w:tr>
      <w:tr w:rsidR="00BA1728" w:rsidRPr="00BA1728" w14:paraId="632334D7"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62F122FD" w14:textId="77777777"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Gmünd</w:t>
            </w:r>
          </w:p>
        </w:tc>
        <w:tc>
          <w:tcPr>
            <w:tcW w:w="779" w:type="dxa"/>
            <w:tcBorders>
              <w:top w:val="nil"/>
              <w:left w:val="nil"/>
              <w:bottom w:val="single" w:sz="4" w:space="0" w:color="auto"/>
              <w:right w:val="single" w:sz="4" w:space="0" w:color="auto"/>
            </w:tcBorders>
            <w:shd w:val="clear" w:color="auto" w:fill="auto"/>
            <w:noWrap/>
            <w:vAlign w:val="bottom"/>
            <w:hideMark/>
          </w:tcPr>
          <w:p w14:paraId="57D83C6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36.085</w:t>
            </w:r>
          </w:p>
        </w:tc>
        <w:tc>
          <w:tcPr>
            <w:tcW w:w="781" w:type="dxa"/>
            <w:tcBorders>
              <w:top w:val="nil"/>
              <w:left w:val="nil"/>
              <w:bottom w:val="single" w:sz="4" w:space="0" w:color="auto"/>
              <w:right w:val="single" w:sz="4" w:space="0" w:color="auto"/>
            </w:tcBorders>
            <w:shd w:val="clear" w:color="auto" w:fill="auto"/>
            <w:noWrap/>
            <w:vAlign w:val="bottom"/>
            <w:hideMark/>
          </w:tcPr>
          <w:p w14:paraId="1D91CB8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FF0000"/>
                <w:sz w:val="14"/>
                <w:szCs w:val="14"/>
                <w:lang w:val="de-AT" w:eastAsia="de-AT"/>
              </w:rPr>
              <w:t xml:space="preserve">-146 </w:t>
            </w:r>
          </w:p>
        </w:tc>
        <w:tc>
          <w:tcPr>
            <w:tcW w:w="850" w:type="dxa"/>
            <w:tcBorders>
              <w:top w:val="nil"/>
              <w:left w:val="nil"/>
              <w:bottom w:val="single" w:sz="4" w:space="0" w:color="auto"/>
              <w:right w:val="single" w:sz="4" w:space="0" w:color="auto"/>
            </w:tcBorders>
            <w:shd w:val="clear" w:color="auto" w:fill="auto"/>
            <w:noWrap/>
            <w:vAlign w:val="bottom"/>
            <w:hideMark/>
          </w:tcPr>
          <w:p w14:paraId="7D39D5E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FF0000"/>
                <w:sz w:val="14"/>
                <w:szCs w:val="14"/>
                <w:lang w:val="de-AT" w:eastAsia="de-AT"/>
              </w:rPr>
              <w:t xml:space="preserve">-4,05 </w:t>
            </w:r>
          </w:p>
        </w:tc>
        <w:tc>
          <w:tcPr>
            <w:tcW w:w="992" w:type="dxa"/>
            <w:tcBorders>
              <w:top w:val="nil"/>
              <w:left w:val="nil"/>
              <w:bottom w:val="single" w:sz="4" w:space="0" w:color="auto"/>
              <w:right w:val="single" w:sz="4" w:space="0" w:color="auto"/>
            </w:tcBorders>
            <w:shd w:val="clear" w:color="auto" w:fill="auto"/>
            <w:noWrap/>
            <w:vAlign w:val="bottom"/>
            <w:hideMark/>
          </w:tcPr>
          <w:p w14:paraId="2ECFF34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291</w:t>
            </w:r>
          </w:p>
        </w:tc>
        <w:tc>
          <w:tcPr>
            <w:tcW w:w="851" w:type="dxa"/>
            <w:tcBorders>
              <w:top w:val="nil"/>
              <w:left w:val="nil"/>
              <w:bottom w:val="single" w:sz="4" w:space="0" w:color="auto"/>
              <w:right w:val="single" w:sz="4" w:space="0" w:color="auto"/>
            </w:tcBorders>
            <w:shd w:val="clear" w:color="auto" w:fill="auto"/>
            <w:noWrap/>
            <w:vAlign w:val="bottom"/>
            <w:hideMark/>
          </w:tcPr>
          <w:p w14:paraId="7AB4EE7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545</w:t>
            </w:r>
          </w:p>
        </w:tc>
        <w:tc>
          <w:tcPr>
            <w:tcW w:w="697" w:type="dxa"/>
            <w:tcBorders>
              <w:top w:val="nil"/>
              <w:left w:val="nil"/>
              <w:bottom w:val="single" w:sz="4" w:space="0" w:color="auto"/>
              <w:right w:val="single" w:sz="4" w:space="0" w:color="auto"/>
            </w:tcBorders>
            <w:shd w:val="clear" w:color="auto" w:fill="auto"/>
            <w:noWrap/>
            <w:vAlign w:val="bottom"/>
            <w:hideMark/>
          </w:tcPr>
          <w:p w14:paraId="0A2C445D"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-254</w:t>
            </w:r>
          </w:p>
        </w:tc>
        <w:tc>
          <w:tcPr>
            <w:tcW w:w="711" w:type="dxa"/>
            <w:tcBorders>
              <w:top w:val="nil"/>
              <w:left w:val="nil"/>
              <w:bottom w:val="single" w:sz="4" w:space="0" w:color="auto"/>
              <w:right w:val="single" w:sz="4" w:space="0" w:color="auto"/>
            </w:tcBorders>
            <w:shd w:val="clear" w:color="auto" w:fill="auto"/>
            <w:noWrap/>
            <w:vAlign w:val="bottom"/>
            <w:hideMark/>
          </w:tcPr>
          <w:p w14:paraId="5F47590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1.224</w:t>
            </w:r>
          </w:p>
        </w:tc>
        <w:tc>
          <w:tcPr>
            <w:tcW w:w="882" w:type="dxa"/>
            <w:tcBorders>
              <w:top w:val="nil"/>
              <w:left w:val="nil"/>
              <w:bottom w:val="single" w:sz="4" w:space="0" w:color="auto"/>
              <w:right w:val="single" w:sz="4" w:space="0" w:color="auto"/>
            </w:tcBorders>
            <w:shd w:val="clear" w:color="auto" w:fill="auto"/>
            <w:noWrap/>
            <w:vAlign w:val="bottom"/>
            <w:hideMark/>
          </w:tcPr>
          <w:p w14:paraId="4F3073E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1.113</w:t>
            </w:r>
          </w:p>
        </w:tc>
        <w:tc>
          <w:tcPr>
            <w:tcW w:w="850" w:type="dxa"/>
            <w:tcBorders>
              <w:top w:val="nil"/>
              <w:left w:val="nil"/>
              <w:bottom w:val="single" w:sz="4" w:space="0" w:color="auto"/>
              <w:right w:val="single" w:sz="4" w:space="0" w:color="auto"/>
            </w:tcBorders>
            <w:shd w:val="clear" w:color="auto" w:fill="auto"/>
            <w:noWrap/>
            <w:vAlign w:val="bottom"/>
            <w:hideMark/>
          </w:tcPr>
          <w:p w14:paraId="10DB74D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111</w:t>
            </w:r>
          </w:p>
        </w:tc>
        <w:tc>
          <w:tcPr>
            <w:tcW w:w="658" w:type="dxa"/>
            <w:tcBorders>
              <w:top w:val="nil"/>
              <w:left w:val="nil"/>
              <w:bottom w:val="single" w:sz="4" w:space="0" w:color="auto"/>
              <w:right w:val="single" w:sz="4" w:space="0" w:color="auto"/>
            </w:tcBorders>
            <w:shd w:val="clear" w:color="auto" w:fill="auto"/>
            <w:noWrap/>
            <w:vAlign w:val="bottom"/>
            <w:hideMark/>
          </w:tcPr>
          <w:p w14:paraId="4E1ECCC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485</w:t>
            </w:r>
          </w:p>
        </w:tc>
        <w:tc>
          <w:tcPr>
            <w:tcW w:w="819" w:type="dxa"/>
            <w:tcBorders>
              <w:top w:val="nil"/>
              <w:left w:val="nil"/>
              <w:bottom w:val="single" w:sz="4" w:space="0" w:color="auto"/>
              <w:right w:val="single" w:sz="4" w:space="0" w:color="auto"/>
            </w:tcBorders>
            <w:shd w:val="clear" w:color="auto" w:fill="auto"/>
            <w:noWrap/>
            <w:vAlign w:val="bottom"/>
            <w:hideMark/>
          </w:tcPr>
          <w:p w14:paraId="0EA2B24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204</w:t>
            </w:r>
          </w:p>
        </w:tc>
        <w:tc>
          <w:tcPr>
            <w:tcW w:w="876" w:type="dxa"/>
            <w:tcBorders>
              <w:top w:val="nil"/>
              <w:left w:val="nil"/>
              <w:bottom w:val="single" w:sz="4" w:space="0" w:color="auto"/>
              <w:right w:val="single" w:sz="4" w:space="0" w:color="auto"/>
            </w:tcBorders>
            <w:shd w:val="clear" w:color="auto" w:fill="auto"/>
            <w:noWrap/>
            <w:vAlign w:val="bottom"/>
            <w:hideMark/>
          </w:tcPr>
          <w:p w14:paraId="129D37CA"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281</w:t>
            </w:r>
          </w:p>
        </w:tc>
        <w:tc>
          <w:tcPr>
            <w:tcW w:w="658" w:type="dxa"/>
            <w:tcBorders>
              <w:top w:val="nil"/>
              <w:left w:val="nil"/>
              <w:bottom w:val="single" w:sz="4" w:space="0" w:color="auto"/>
              <w:right w:val="single" w:sz="4" w:space="0" w:color="auto"/>
            </w:tcBorders>
            <w:shd w:val="clear" w:color="auto" w:fill="auto"/>
            <w:noWrap/>
            <w:vAlign w:val="bottom"/>
            <w:hideMark/>
          </w:tcPr>
          <w:p w14:paraId="3472017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739</w:t>
            </w:r>
          </w:p>
        </w:tc>
        <w:tc>
          <w:tcPr>
            <w:tcW w:w="851" w:type="dxa"/>
            <w:tcBorders>
              <w:top w:val="nil"/>
              <w:left w:val="nil"/>
              <w:bottom w:val="single" w:sz="4" w:space="0" w:color="auto"/>
              <w:right w:val="single" w:sz="4" w:space="0" w:color="auto"/>
            </w:tcBorders>
            <w:shd w:val="clear" w:color="auto" w:fill="auto"/>
            <w:noWrap/>
            <w:vAlign w:val="bottom"/>
            <w:hideMark/>
          </w:tcPr>
          <w:p w14:paraId="14B0390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909</w:t>
            </w:r>
          </w:p>
        </w:tc>
        <w:tc>
          <w:tcPr>
            <w:tcW w:w="567" w:type="dxa"/>
            <w:tcBorders>
              <w:top w:val="nil"/>
              <w:left w:val="nil"/>
              <w:bottom w:val="single" w:sz="4" w:space="0" w:color="auto"/>
              <w:right w:val="single" w:sz="4" w:space="0" w:color="auto"/>
            </w:tcBorders>
            <w:shd w:val="clear" w:color="auto" w:fill="auto"/>
            <w:noWrap/>
            <w:vAlign w:val="bottom"/>
            <w:hideMark/>
          </w:tcPr>
          <w:p w14:paraId="4789B8B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-170</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097FE3C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1.351</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0A53067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E2BD8A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35.939</w:t>
            </w:r>
          </w:p>
        </w:tc>
      </w:tr>
      <w:tr w:rsidR="00BA1728" w:rsidRPr="00BA1728" w14:paraId="4E679AD6"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58AF0275" w14:textId="77777777"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Horn</w:t>
            </w:r>
          </w:p>
        </w:tc>
        <w:tc>
          <w:tcPr>
            <w:tcW w:w="779" w:type="dxa"/>
            <w:tcBorders>
              <w:top w:val="nil"/>
              <w:left w:val="nil"/>
              <w:bottom w:val="single" w:sz="4" w:space="0" w:color="auto"/>
              <w:right w:val="single" w:sz="4" w:space="0" w:color="auto"/>
            </w:tcBorders>
            <w:shd w:val="clear" w:color="auto" w:fill="auto"/>
            <w:noWrap/>
            <w:vAlign w:val="bottom"/>
            <w:hideMark/>
          </w:tcPr>
          <w:p w14:paraId="4CFE20FD"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30.790</w:t>
            </w:r>
          </w:p>
        </w:tc>
        <w:tc>
          <w:tcPr>
            <w:tcW w:w="781" w:type="dxa"/>
            <w:tcBorders>
              <w:top w:val="nil"/>
              <w:left w:val="nil"/>
              <w:bottom w:val="single" w:sz="4" w:space="0" w:color="auto"/>
              <w:right w:val="single" w:sz="4" w:space="0" w:color="auto"/>
            </w:tcBorders>
            <w:shd w:val="clear" w:color="auto" w:fill="auto"/>
            <w:noWrap/>
            <w:vAlign w:val="bottom"/>
            <w:hideMark/>
          </w:tcPr>
          <w:p w14:paraId="4C44659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262 </w:t>
            </w:r>
          </w:p>
        </w:tc>
        <w:tc>
          <w:tcPr>
            <w:tcW w:w="850" w:type="dxa"/>
            <w:tcBorders>
              <w:top w:val="nil"/>
              <w:left w:val="nil"/>
              <w:bottom w:val="single" w:sz="4" w:space="0" w:color="auto"/>
              <w:right w:val="single" w:sz="4" w:space="0" w:color="auto"/>
            </w:tcBorders>
            <w:shd w:val="clear" w:color="auto" w:fill="auto"/>
            <w:noWrap/>
            <w:vAlign w:val="bottom"/>
            <w:hideMark/>
          </w:tcPr>
          <w:p w14:paraId="76FB6B3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8,46 </w:t>
            </w:r>
          </w:p>
        </w:tc>
        <w:tc>
          <w:tcPr>
            <w:tcW w:w="992" w:type="dxa"/>
            <w:tcBorders>
              <w:top w:val="nil"/>
              <w:left w:val="nil"/>
              <w:bottom w:val="single" w:sz="4" w:space="0" w:color="auto"/>
              <w:right w:val="single" w:sz="4" w:space="0" w:color="auto"/>
            </w:tcBorders>
            <w:shd w:val="clear" w:color="auto" w:fill="auto"/>
            <w:noWrap/>
            <w:vAlign w:val="bottom"/>
            <w:hideMark/>
          </w:tcPr>
          <w:p w14:paraId="264BF5E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243</w:t>
            </w:r>
          </w:p>
        </w:tc>
        <w:tc>
          <w:tcPr>
            <w:tcW w:w="851" w:type="dxa"/>
            <w:tcBorders>
              <w:top w:val="nil"/>
              <w:left w:val="nil"/>
              <w:bottom w:val="single" w:sz="4" w:space="0" w:color="auto"/>
              <w:right w:val="single" w:sz="4" w:space="0" w:color="auto"/>
            </w:tcBorders>
            <w:shd w:val="clear" w:color="auto" w:fill="auto"/>
            <w:noWrap/>
            <w:vAlign w:val="bottom"/>
            <w:hideMark/>
          </w:tcPr>
          <w:p w14:paraId="4B25039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531</w:t>
            </w:r>
          </w:p>
        </w:tc>
        <w:tc>
          <w:tcPr>
            <w:tcW w:w="697" w:type="dxa"/>
            <w:tcBorders>
              <w:top w:val="nil"/>
              <w:left w:val="nil"/>
              <w:bottom w:val="single" w:sz="4" w:space="0" w:color="auto"/>
              <w:right w:val="single" w:sz="4" w:space="0" w:color="auto"/>
            </w:tcBorders>
            <w:shd w:val="clear" w:color="auto" w:fill="auto"/>
            <w:noWrap/>
            <w:vAlign w:val="bottom"/>
            <w:hideMark/>
          </w:tcPr>
          <w:p w14:paraId="6606C66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-288</w:t>
            </w:r>
          </w:p>
        </w:tc>
        <w:tc>
          <w:tcPr>
            <w:tcW w:w="711" w:type="dxa"/>
            <w:tcBorders>
              <w:top w:val="nil"/>
              <w:left w:val="nil"/>
              <w:bottom w:val="single" w:sz="4" w:space="0" w:color="auto"/>
              <w:right w:val="single" w:sz="4" w:space="0" w:color="auto"/>
            </w:tcBorders>
            <w:shd w:val="clear" w:color="auto" w:fill="auto"/>
            <w:noWrap/>
            <w:vAlign w:val="bottom"/>
            <w:hideMark/>
          </w:tcPr>
          <w:p w14:paraId="2CF6AA3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1.502</w:t>
            </w:r>
          </w:p>
        </w:tc>
        <w:tc>
          <w:tcPr>
            <w:tcW w:w="882" w:type="dxa"/>
            <w:tcBorders>
              <w:top w:val="nil"/>
              <w:left w:val="nil"/>
              <w:bottom w:val="single" w:sz="4" w:space="0" w:color="auto"/>
              <w:right w:val="single" w:sz="4" w:space="0" w:color="auto"/>
            </w:tcBorders>
            <w:shd w:val="clear" w:color="auto" w:fill="auto"/>
            <w:noWrap/>
            <w:vAlign w:val="bottom"/>
            <w:hideMark/>
          </w:tcPr>
          <w:p w14:paraId="0DEC2A4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950</w:t>
            </w:r>
          </w:p>
        </w:tc>
        <w:tc>
          <w:tcPr>
            <w:tcW w:w="850" w:type="dxa"/>
            <w:tcBorders>
              <w:top w:val="nil"/>
              <w:left w:val="nil"/>
              <w:bottom w:val="single" w:sz="4" w:space="0" w:color="auto"/>
              <w:right w:val="single" w:sz="4" w:space="0" w:color="auto"/>
            </w:tcBorders>
            <w:shd w:val="clear" w:color="auto" w:fill="auto"/>
            <w:noWrap/>
            <w:vAlign w:val="bottom"/>
            <w:hideMark/>
          </w:tcPr>
          <w:p w14:paraId="381E2DF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552</w:t>
            </w:r>
          </w:p>
        </w:tc>
        <w:tc>
          <w:tcPr>
            <w:tcW w:w="658" w:type="dxa"/>
            <w:tcBorders>
              <w:top w:val="nil"/>
              <w:left w:val="nil"/>
              <w:bottom w:val="single" w:sz="4" w:space="0" w:color="auto"/>
              <w:right w:val="single" w:sz="4" w:space="0" w:color="auto"/>
            </w:tcBorders>
            <w:shd w:val="clear" w:color="auto" w:fill="auto"/>
            <w:noWrap/>
            <w:vAlign w:val="bottom"/>
            <w:hideMark/>
          </w:tcPr>
          <w:p w14:paraId="78D676E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491</w:t>
            </w:r>
          </w:p>
        </w:tc>
        <w:tc>
          <w:tcPr>
            <w:tcW w:w="819" w:type="dxa"/>
            <w:tcBorders>
              <w:top w:val="nil"/>
              <w:left w:val="nil"/>
              <w:bottom w:val="single" w:sz="4" w:space="0" w:color="auto"/>
              <w:right w:val="single" w:sz="4" w:space="0" w:color="auto"/>
            </w:tcBorders>
            <w:shd w:val="clear" w:color="auto" w:fill="auto"/>
            <w:noWrap/>
            <w:vAlign w:val="bottom"/>
            <w:hideMark/>
          </w:tcPr>
          <w:p w14:paraId="569D819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176</w:t>
            </w:r>
          </w:p>
        </w:tc>
        <w:tc>
          <w:tcPr>
            <w:tcW w:w="876" w:type="dxa"/>
            <w:tcBorders>
              <w:top w:val="nil"/>
              <w:left w:val="nil"/>
              <w:bottom w:val="single" w:sz="4" w:space="0" w:color="auto"/>
              <w:right w:val="single" w:sz="4" w:space="0" w:color="auto"/>
            </w:tcBorders>
            <w:shd w:val="clear" w:color="auto" w:fill="auto"/>
            <w:noWrap/>
            <w:vAlign w:val="bottom"/>
            <w:hideMark/>
          </w:tcPr>
          <w:p w14:paraId="73827FA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315</w:t>
            </w:r>
          </w:p>
        </w:tc>
        <w:tc>
          <w:tcPr>
            <w:tcW w:w="658" w:type="dxa"/>
            <w:tcBorders>
              <w:top w:val="nil"/>
              <w:left w:val="nil"/>
              <w:bottom w:val="single" w:sz="4" w:space="0" w:color="auto"/>
              <w:right w:val="single" w:sz="4" w:space="0" w:color="auto"/>
            </w:tcBorders>
            <w:shd w:val="clear" w:color="auto" w:fill="auto"/>
            <w:noWrap/>
            <w:vAlign w:val="bottom"/>
            <w:hideMark/>
          </w:tcPr>
          <w:p w14:paraId="70685A7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1.011</w:t>
            </w:r>
          </w:p>
        </w:tc>
        <w:tc>
          <w:tcPr>
            <w:tcW w:w="851" w:type="dxa"/>
            <w:tcBorders>
              <w:top w:val="nil"/>
              <w:left w:val="nil"/>
              <w:bottom w:val="single" w:sz="4" w:space="0" w:color="auto"/>
              <w:right w:val="single" w:sz="4" w:space="0" w:color="auto"/>
            </w:tcBorders>
            <w:shd w:val="clear" w:color="auto" w:fill="auto"/>
            <w:noWrap/>
            <w:vAlign w:val="bottom"/>
            <w:hideMark/>
          </w:tcPr>
          <w:p w14:paraId="6E64ADC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774</w:t>
            </w:r>
          </w:p>
        </w:tc>
        <w:tc>
          <w:tcPr>
            <w:tcW w:w="567" w:type="dxa"/>
            <w:tcBorders>
              <w:top w:val="nil"/>
              <w:left w:val="nil"/>
              <w:bottom w:val="single" w:sz="4" w:space="0" w:color="auto"/>
              <w:right w:val="single" w:sz="4" w:space="0" w:color="auto"/>
            </w:tcBorders>
            <w:shd w:val="clear" w:color="auto" w:fill="auto"/>
            <w:noWrap/>
            <w:vAlign w:val="bottom"/>
            <w:hideMark/>
          </w:tcPr>
          <w:p w14:paraId="276A831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237</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3C33787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1.230</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1DA27F0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7DEED4D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31.052</w:t>
            </w:r>
          </w:p>
        </w:tc>
      </w:tr>
      <w:tr w:rsidR="00BA1728" w:rsidRPr="00BA1728" w14:paraId="2F88A26C"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77ABEB11" w14:textId="77777777"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Krems (Land)</w:t>
            </w:r>
          </w:p>
        </w:tc>
        <w:tc>
          <w:tcPr>
            <w:tcW w:w="779" w:type="dxa"/>
            <w:tcBorders>
              <w:top w:val="nil"/>
              <w:left w:val="nil"/>
              <w:bottom w:val="single" w:sz="4" w:space="0" w:color="auto"/>
              <w:right w:val="single" w:sz="4" w:space="0" w:color="auto"/>
            </w:tcBorders>
            <w:shd w:val="clear" w:color="auto" w:fill="auto"/>
            <w:noWrap/>
            <w:vAlign w:val="bottom"/>
            <w:hideMark/>
          </w:tcPr>
          <w:p w14:paraId="1965D78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56.612</w:t>
            </w:r>
          </w:p>
        </w:tc>
        <w:tc>
          <w:tcPr>
            <w:tcW w:w="781" w:type="dxa"/>
            <w:tcBorders>
              <w:top w:val="nil"/>
              <w:left w:val="nil"/>
              <w:bottom w:val="single" w:sz="4" w:space="0" w:color="auto"/>
              <w:right w:val="single" w:sz="4" w:space="0" w:color="auto"/>
            </w:tcBorders>
            <w:shd w:val="clear" w:color="auto" w:fill="auto"/>
            <w:noWrap/>
            <w:vAlign w:val="bottom"/>
            <w:hideMark/>
          </w:tcPr>
          <w:p w14:paraId="7309FC5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264 </w:t>
            </w:r>
          </w:p>
        </w:tc>
        <w:tc>
          <w:tcPr>
            <w:tcW w:w="850" w:type="dxa"/>
            <w:tcBorders>
              <w:top w:val="nil"/>
              <w:left w:val="nil"/>
              <w:bottom w:val="single" w:sz="4" w:space="0" w:color="auto"/>
              <w:right w:val="single" w:sz="4" w:space="0" w:color="auto"/>
            </w:tcBorders>
            <w:shd w:val="clear" w:color="auto" w:fill="auto"/>
            <w:noWrap/>
            <w:vAlign w:val="bottom"/>
            <w:hideMark/>
          </w:tcPr>
          <w:p w14:paraId="61221BB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4,65 </w:t>
            </w:r>
          </w:p>
        </w:tc>
        <w:tc>
          <w:tcPr>
            <w:tcW w:w="992" w:type="dxa"/>
            <w:tcBorders>
              <w:top w:val="nil"/>
              <w:left w:val="nil"/>
              <w:bottom w:val="single" w:sz="4" w:space="0" w:color="auto"/>
              <w:right w:val="single" w:sz="4" w:space="0" w:color="auto"/>
            </w:tcBorders>
            <w:shd w:val="clear" w:color="auto" w:fill="auto"/>
            <w:noWrap/>
            <w:vAlign w:val="bottom"/>
            <w:hideMark/>
          </w:tcPr>
          <w:p w14:paraId="748F6AB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469</w:t>
            </w:r>
          </w:p>
        </w:tc>
        <w:tc>
          <w:tcPr>
            <w:tcW w:w="851" w:type="dxa"/>
            <w:tcBorders>
              <w:top w:val="nil"/>
              <w:left w:val="nil"/>
              <w:bottom w:val="single" w:sz="4" w:space="0" w:color="auto"/>
              <w:right w:val="single" w:sz="4" w:space="0" w:color="auto"/>
            </w:tcBorders>
            <w:shd w:val="clear" w:color="auto" w:fill="auto"/>
            <w:noWrap/>
            <w:vAlign w:val="bottom"/>
            <w:hideMark/>
          </w:tcPr>
          <w:p w14:paraId="3CFCEF4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620</w:t>
            </w:r>
          </w:p>
        </w:tc>
        <w:tc>
          <w:tcPr>
            <w:tcW w:w="697" w:type="dxa"/>
            <w:tcBorders>
              <w:top w:val="nil"/>
              <w:left w:val="nil"/>
              <w:bottom w:val="single" w:sz="4" w:space="0" w:color="auto"/>
              <w:right w:val="single" w:sz="4" w:space="0" w:color="auto"/>
            </w:tcBorders>
            <w:shd w:val="clear" w:color="auto" w:fill="auto"/>
            <w:noWrap/>
            <w:vAlign w:val="bottom"/>
            <w:hideMark/>
          </w:tcPr>
          <w:p w14:paraId="4E735A4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-151</w:t>
            </w:r>
          </w:p>
        </w:tc>
        <w:tc>
          <w:tcPr>
            <w:tcW w:w="711" w:type="dxa"/>
            <w:tcBorders>
              <w:top w:val="nil"/>
              <w:left w:val="nil"/>
              <w:bottom w:val="single" w:sz="4" w:space="0" w:color="auto"/>
              <w:right w:val="single" w:sz="4" w:space="0" w:color="auto"/>
            </w:tcBorders>
            <w:shd w:val="clear" w:color="auto" w:fill="auto"/>
            <w:noWrap/>
            <w:vAlign w:val="bottom"/>
            <w:hideMark/>
          </w:tcPr>
          <w:p w14:paraId="3A5AD1B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2.441</w:t>
            </w:r>
          </w:p>
        </w:tc>
        <w:tc>
          <w:tcPr>
            <w:tcW w:w="882" w:type="dxa"/>
            <w:tcBorders>
              <w:top w:val="nil"/>
              <w:left w:val="nil"/>
              <w:bottom w:val="single" w:sz="4" w:space="0" w:color="auto"/>
              <w:right w:val="single" w:sz="4" w:space="0" w:color="auto"/>
            </w:tcBorders>
            <w:shd w:val="clear" w:color="auto" w:fill="auto"/>
            <w:noWrap/>
            <w:vAlign w:val="bottom"/>
            <w:hideMark/>
          </w:tcPr>
          <w:p w14:paraId="492D6D9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2.026</w:t>
            </w:r>
          </w:p>
        </w:tc>
        <w:tc>
          <w:tcPr>
            <w:tcW w:w="850" w:type="dxa"/>
            <w:tcBorders>
              <w:top w:val="nil"/>
              <w:left w:val="nil"/>
              <w:bottom w:val="single" w:sz="4" w:space="0" w:color="auto"/>
              <w:right w:val="single" w:sz="4" w:space="0" w:color="auto"/>
            </w:tcBorders>
            <w:shd w:val="clear" w:color="auto" w:fill="auto"/>
            <w:noWrap/>
            <w:vAlign w:val="bottom"/>
            <w:hideMark/>
          </w:tcPr>
          <w:p w14:paraId="6ED1441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415</w:t>
            </w:r>
          </w:p>
        </w:tc>
        <w:tc>
          <w:tcPr>
            <w:tcW w:w="658" w:type="dxa"/>
            <w:tcBorders>
              <w:top w:val="nil"/>
              <w:left w:val="nil"/>
              <w:bottom w:val="single" w:sz="4" w:space="0" w:color="auto"/>
              <w:right w:val="single" w:sz="4" w:space="0" w:color="auto"/>
            </w:tcBorders>
            <w:shd w:val="clear" w:color="auto" w:fill="auto"/>
            <w:noWrap/>
            <w:vAlign w:val="bottom"/>
            <w:hideMark/>
          </w:tcPr>
          <w:p w14:paraId="6D2D2BB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818</w:t>
            </w:r>
          </w:p>
        </w:tc>
        <w:tc>
          <w:tcPr>
            <w:tcW w:w="819" w:type="dxa"/>
            <w:tcBorders>
              <w:top w:val="nil"/>
              <w:left w:val="nil"/>
              <w:bottom w:val="single" w:sz="4" w:space="0" w:color="auto"/>
              <w:right w:val="single" w:sz="4" w:space="0" w:color="auto"/>
            </w:tcBorders>
            <w:shd w:val="clear" w:color="auto" w:fill="auto"/>
            <w:noWrap/>
            <w:vAlign w:val="bottom"/>
            <w:hideMark/>
          </w:tcPr>
          <w:p w14:paraId="78F23EAD"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336</w:t>
            </w:r>
          </w:p>
        </w:tc>
        <w:tc>
          <w:tcPr>
            <w:tcW w:w="876" w:type="dxa"/>
            <w:tcBorders>
              <w:top w:val="nil"/>
              <w:left w:val="nil"/>
              <w:bottom w:val="single" w:sz="4" w:space="0" w:color="auto"/>
              <w:right w:val="single" w:sz="4" w:space="0" w:color="auto"/>
            </w:tcBorders>
            <w:shd w:val="clear" w:color="auto" w:fill="auto"/>
            <w:noWrap/>
            <w:vAlign w:val="bottom"/>
            <w:hideMark/>
          </w:tcPr>
          <w:p w14:paraId="005B6C2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482</w:t>
            </w:r>
          </w:p>
        </w:tc>
        <w:tc>
          <w:tcPr>
            <w:tcW w:w="658" w:type="dxa"/>
            <w:tcBorders>
              <w:top w:val="nil"/>
              <w:left w:val="nil"/>
              <w:bottom w:val="single" w:sz="4" w:space="0" w:color="auto"/>
              <w:right w:val="single" w:sz="4" w:space="0" w:color="auto"/>
            </w:tcBorders>
            <w:shd w:val="clear" w:color="auto" w:fill="auto"/>
            <w:noWrap/>
            <w:vAlign w:val="bottom"/>
            <w:hideMark/>
          </w:tcPr>
          <w:p w14:paraId="4E51175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1.623</w:t>
            </w:r>
          </w:p>
        </w:tc>
        <w:tc>
          <w:tcPr>
            <w:tcW w:w="851" w:type="dxa"/>
            <w:tcBorders>
              <w:top w:val="nil"/>
              <w:left w:val="nil"/>
              <w:bottom w:val="single" w:sz="4" w:space="0" w:color="auto"/>
              <w:right w:val="single" w:sz="4" w:space="0" w:color="auto"/>
            </w:tcBorders>
            <w:shd w:val="clear" w:color="auto" w:fill="auto"/>
            <w:noWrap/>
            <w:vAlign w:val="bottom"/>
            <w:hideMark/>
          </w:tcPr>
          <w:p w14:paraId="17FA4D0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1.690</w:t>
            </w:r>
          </w:p>
        </w:tc>
        <w:tc>
          <w:tcPr>
            <w:tcW w:w="567" w:type="dxa"/>
            <w:tcBorders>
              <w:top w:val="nil"/>
              <w:left w:val="nil"/>
              <w:bottom w:val="single" w:sz="4" w:space="0" w:color="auto"/>
              <w:right w:val="single" w:sz="4" w:space="0" w:color="auto"/>
            </w:tcBorders>
            <w:shd w:val="clear" w:color="auto" w:fill="auto"/>
            <w:noWrap/>
            <w:vAlign w:val="bottom"/>
            <w:hideMark/>
          </w:tcPr>
          <w:p w14:paraId="7869487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-67</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7A0E48B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1.752</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11093B0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2A2A303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56.876</w:t>
            </w:r>
          </w:p>
        </w:tc>
      </w:tr>
      <w:tr w:rsidR="00BA1728" w:rsidRPr="00BA1728" w14:paraId="50116D0F"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27CBC70D" w14:textId="4B461276"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Waidhofen/Th</w:t>
            </w:r>
          </w:p>
        </w:tc>
        <w:tc>
          <w:tcPr>
            <w:tcW w:w="779" w:type="dxa"/>
            <w:tcBorders>
              <w:top w:val="nil"/>
              <w:left w:val="nil"/>
              <w:bottom w:val="single" w:sz="4" w:space="0" w:color="auto"/>
              <w:right w:val="single" w:sz="4" w:space="0" w:color="auto"/>
            </w:tcBorders>
            <w:shd w:val="clear" w:color="auto" w:fill="auto"/>
            <w:noWrap/>
            <w:vAlign w:val="bottom"/>
            <w:hideMark/>
          </w:tcPr>
          <w:p w14:paraId="4FA011F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25.511</w:t>
            </w:r>
          </w:p>
        </w:tc>
        <w:tc>
          <w:tcPr>
            <w:tcW w:w="781" w:type="dxa"/>
            <w:tcBorders>
              <w:top w:val="nil"/>
              <w:left w:val="nil"/>
              <w:bottom w:val="single" w:sz="4" w:space="0" w:color="auto"/>
              <w:right w:val="single" w:sz="4" w:space="0" w:color="auto"/>
            </w:tcBorders>
            <w:shd w:val="clear" w:color="auto" w:fill="auto"/>
            <w:noWrap/>
            <w:vAlign w:val="bottom"/>
            <w:hideMark/>
          </w:tcPr>
          <w:p w14:paraId="4ADD2AA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40 </w:t>
            </w:r>
          </w:p>
        </w:tc>
        <w:tc>
          <w:tcPr>
            <w:tcW w:w="850" w:type="dxa"/>
            <w:tcBorders>
              <w:top w:val="nil"/>
              <w:left w:val="nil"/>
              <w:bottom w:val="single" w:sz="4" w:space="0" w:color="auto"/>
              <w:right w:val="single" w:sz="4" w:space="0" w:color="auto"/>
            </w:tcBorders>
            <w:shd w:val="clear" w:color="auto" w:fill="auto"/>
            <w:noWrap/>
            <w:vAlign w:val="bottom"/>
            <w:hideMark/>
          </w:tcPr>
          <w:p w14:paraId="21BB572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1,56 </w:t>
            </w:r>
          </w:p>
        </w:tc>
        <w:tc>
          <w:tcPr>
            <w:tcW w:w="992" w:type="dxa"/>
            <w:tcBorders>
              <w:top w:val="nil"/>
              <w:left w:val="nil"/>
              <w:bottom w:val="single" w:sz="4" w:space="0" w:color="auto"/>
              <w:right w:val="single" w:sz="4" w:space="0" w:color="auto"/>
            </w:tcBorders>
            <w:shd w:val="clear" w:color="auto" w:fill="auto"/>
            <w:noWrap/>
            <w:vAlign w:val="bottom"/>
            <w:hideMark/>
          </w:tcPr>
          <w:p w14:paraId="2B0AB23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195</w:t>
            </w:r>
          </w:p>
        </w:tc>
        <w:tc>
          <w:tcPr>
            <w:tcW w:w="851" w:type="dxa"/>
            <w:tcBorders>
              <w:top w:val="nil"/>
              <w:left w:val="nil"/>
              <w:bottom w:val="single" w:sz="4" w:space="0" w:color="auto"/>
              <w:right w:val="single" w:sz="4" w:space="0" w:color="auto"/>
            </w:tcBorders>
            <w:shd w:val="clear" w:color="auto" w:fill="auto"/>
            <w:noWrap/>
            <w:vAlign w:val="bottom"/>
            <w:hideMark/>
          </w:tcPr>
          <w:p w14:paraId="5463629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402</w:t>
            </w:r>
          </w:p>
        </w:tc>
        <w:tc>
          <w:tcPr>
            <w:tcW w:w="697" w:type="dxa"/>
            <w:tcBorders>
              <w:top w:val="nil"/>
              <w:left w:val="nil"/>
              <w:bottom w:val="single" w:sz="4" w:space="0" w:color="auto"/>
              <w:right w:val="single" w:sz="4" w:space="0" w:color="auto"/>
            </w:tcBorders>
            <w:shd w:val="clear" w:color="auto" w:fill="auto"/>
            <w:noWrap/>
            <w:vAlign w:val="bottom"/>
            <w:hideMark/>
          </w:tcPr>
          <w:p w14:paraId="03C9EB5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-207</w:t>
            </w:r>
          </w:p>
        </w:tc>
        <w:tc>
          <w:tcPr>
            <w:tcW w:w="711" w:type="dxa"/>
            <w:tcBorders>
              <w:top w:val="nil"/>
              <w:left w:val="nil"/>
              <w:bottom w:val="single" w:sz="4" w:space="0" w:color="auto"/>
              <w:right w:val="single" w:sz="4" w:space="0" w:color="auto"/>
            </w:tcBorders>
            <w:shd w:val="clear" w:color="auto" w:fill="auto"/>
            <w:noWrap/>
            <w:vAlign w:val="bottom"/>
            <w:hideMark/>
          </w:tcPr>
          <w:p w14:paraId="745609B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1.005</w:t>
            </w:r>
          </w:p>
        </w:tc>
        <w:tc>
          <w:tcPr>
            <w:tcW w:w="882" w:type="dxa"/>
            <w:tcBorders>
              <w:top w:val="nil"/>
              <w:left w:val="nil"/>
              <w:bottom w:val="single" w:sz="4" w:space="0" w:color="auto"/>
              <w:right w:val="single" w:sz="4" w:space="0" w:color="auto"/>
            </w:tcBorders>
            <w:shd w:val="clear" w:color="auto" w:fill="auto"/>
            <w:noWrap/>
            <w:vAlign w:val="bottom"/>
            <w:hideMark/>
          </w:tcPr>
          <w:p w14:paraId="23BFE2FD"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757</w:t>
            </w:r>
          </w:p>
        </w:tc>
        <w:tc>
          <w:tcPr>
            <w:tcW w:w="850" w:type="dxa"/>
            <w:tcBorders>
              <w:top w:val="nil"/>
              <w:left w:val="nil"/>
              <w:bottom w:val="single" w:sz="4" w:space="0" w:color="auto"/>
              <w:right w:val="single" w:sz="4" w:space="0" w:color="auto"/>
            </w:tcBorders>
            <w:shd w:val="clear" w:color="auto" w:fill="auto"/>
            <w:noWrap/>
            <w:vAlign w:val="bottom"/>
            <w:hideMark/>
          </w:tcPr>
          <w:p w14:paraId="1373C33A"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248</w:t>
            </w:r>
          </w:p>
        </w:tc>
        <w:tc>
          <w:tcPr>
            <w:tcW w:w="658" w:type="dxa"/>
            <w:tcBorders>
              <w:top w:val="nil"/>
              <w:left w:val="nil"/>
              <w:bottom w:val="single" w:sz="4" w:space="0" w:color="auto"/>
              <w:right w:val="single" w:sz="4" w:space="0" w:color="auto"/>
            </w:tcBorders>
            <w:shd w:val="clear" w:color="auto" w:fill="auto"/>
            <w:noWrap/>
            <w:vAlign w:val="bottom"/>
            <w:hideMark/>
          </w:tcPr>
          <w:p w14:paraId="5B154E3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341</w:t>
            </w:r>
          </w:p>
        </w:tc>
        <w:tc>
          <w:tcPr>
            <w:tcW w:w="819" w:type="dxa"/>
            <w:tcBorders>
              <w:top w:val="nil"/>
              <w:left w:val="nil"/>
              <w:bottom w:val="single" w:sz="4" w:space="0" w:color="auto"/>
              <w:right w:val="single" w:sz="4" w:space="0" w:color="auto"/>
            </w:tcBorders>
            <w:shd w:val="clear" w:color="auto" w:fill="auto"/>
            <w:noWrap/>
            <w:vAlign w:val="bottom"/>
            <w:hideMark/>
          </w:tcPr>
          <w:p w14:paraId="5B65FB5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150</w:t>
            </w:r>
          </w:p>
        </w:tc>
        <w:tc>
          <w:tcPr>
            <w:tcW w:w="876" w:type="dxa"/>
            <w:tcBorders>
              <w:top w:val="nil"/>
              <w:left w:val="nil"/>
              <w:bottom w:val="single" w:sz="4" w:space="0" w:color="auto"/>
              <w:right w:val="single" w:sz="4" w:space="0" w:color="auto"/>
            </w:tcBorders>
            <w:shd w:val="clear" w:color="auto" w:fill="auto"/>
            <w:noWrap/>
            <w:vAlign w:val="bottom"/>
            <w:hideMark/>
          </w:tcPr>
          <w:p w14:paraId="7267A89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191</w:t>
            </w:r>
          </w:p>
        </w:tc>
        <w:tc>
          <w:tcPr>
            <w:tcW w:w="658" w:type="dxa"/>
            <w:tcBorders>
              <w:top w:val="nil"/>
              <w:left w:val="nil"/>
              <w:bottom w:val="single" w:sz="4" w:space="0" w:color="auto"/>
              <w:right w:val="single" w:sz="4" w:space="0" w:color="auto"/>
            </w:tcBorders>
            <w:shd w:val="clear" w:color="auto" w:fill="auto"/>
            <w:noWrap/>
            <w:vAlign w:val="bottom"/>
            <w:hideMark/>
          </w:tcPr>
          <w:p w14:paraId="0DBAC7D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664</w:t>
            </w:r>
          </w:p>
        </w:tc>
        <w:tc>
          <w:tcPr>
            <w:tcW w:w="851" w:type="dxa"/>
            <w:tcBorders>
              <w:top w:val="nil"/>
              <w:left w:val="nil"/>
              <w:bottom w:val="single" w:sz="4" w:space="0" w:color="auto"/>
              <w:right w:val="single" w:sz="4" w:space="0" w:color="auto"/>
            </w:tcBorders>
            <w:shd w:val="clear" w:color="auto" w:fill="auto"/>
            <w:noWrap/>
            <w:vAlign w:val="bottom"/>
            <w:hideMark/>
          </w:tcPr>
          <w:p w14:paraId="5190BAF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607</w:t>
            </w:r>
          </w:p>
        </w:tc>
        <w:tc>
          <w:tcPr>
            <w:tcW w:w="567" w:type="dxa"/>
            <w:tcBorders>
              <w:top w:val="nil"/>
              <w:left w:val="nil"/>
              <w:bottom w:val="single" w:sz="4" w:space="0" w:color="auto"/>
              <w:right w:val="single" w:sz="4" w:space="0" w:color="auto"/>
            </w:tcBorders>
            <w:shd w:val="clear" w:color="auto" w:fill="auto"/>
            <w:noWrap/>
            <w:vAlign w:val="bottom"/>
            <w:hideMark/>
          </w:tcPr>
          <w:p w14:paraId="3860D93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57</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7678E94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967</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1799C5F3"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14BB2A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25.551</w:t>
            </w:r>
          </w:p>
        </w:tc>
      </w:tr>
      <w:tr w:rsidR="00BA1728" w:rsidRPr="00BA1728" w14:paraId="270BFD98" w14:textId="77777777" w:rsidTr="002B6B63">
        <w:trPr>
          <w:trHeight w:val="276"/>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4791C1B9" w14:textId="77777777" w:rsidR="00BA1728" w:rsidRPr="00BA1728" w:rsidRDefault="00BA1728" w:rsidP="00BA1728">
            <w:pPr>
              <w:spacing w:line="240" w:lineRule="auto"/>
              <w:rPr>
                <w:rFonts w:eastAsia="Times New Roman" w:cs="Calibri"/>
                <w:color w:val="000000"/>
                <w:sz w:val="14"/>
                <w:szCs w:val="14"/>
                <w:lang w:val="de-AT" w:eastAsia="de-AT"/>
              </w:rPr>
            </w:pPr>
            <w:r w:rsidRPr="00BA1728">
              <w:rPr>
                <w:rFonts w:eastAsia="Times New Roman" w:cs="Calibri"/>
                <w:color w:val="000000"/>
                <w:sz w:val="14"/>
                <w:szCs w:val="14"/>
                <w:lang w:val="de-AT" w:eastAsia="de-AT"/>
              </w:rPr>
              <w:t>Zwettl</w:t>
            </w:r>
          </w:p>
        </w:tc>
        <w:tc>
          <w:tcPr>
            <w:tcW w:w="779" w:type="dxa"/>
            <w:tcBorders>
              <w:top w:val="nil"/>
              <w:left w:val="nil"/>
              <w:bottom w:val="single" w:sz="4" w:space="0" w:color="auto"/>
              <w:right w:val="single" w:sz="4" w:space="0" w:color="auto"/>
            </w:tcBorders>
            <w:shd w:val="clear" w:color="auto" w:fill="auto"/>
            <w:noWrap/>
            <w:vAlign w:val="bottom"/>
            <w:hideMark/>
          </w:tcPr>
          <w:p w14:paraId="3DC1C361"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41.731</w:t>
            </w:r>
          </w:p>
        </w:tc>
        <w:tc>
          <w:tcPr>
            <w:tcW w:w="781" w:type="dxa"/>
            <w:tcBorders>
              <w:top w:val="nil"/>
              <w:left w:val="nil"/>
              <w:bottom w:val="single" w:sz="4" w:space="0" w:color="auto"/>
              <w:right w:val="single" w:sz="4" w:space="0" w:color="auto"/>
            </w:tcBorders>
            <w:shd w:val="clear" w:color="auto" w:fill="auto"/>
            <w:noWrap/>
            <w:vAlign w:val="bottom"/>
            <w:hideMark/>
          </w:tcPr>
          <w:p w14:paraId="4D712CAA"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34 </w:t>
            </w:r>
          </w:p>
        </w:tc>
        <w:tc>
          <w:tcPr>
            <w:tcW w:w="850" w:type="dxa"/>
            <w:tcBorders>
              <w:top w:val="nil"/>
              <w:left w:val="nil"/>
              <w:bottom w:val="single" w:sz="4" w:space="0" w:color="auto"/>
              <w:right w:val="single" w:sz="4" w:space="0" w:color="auto"/>
            </w:tcBorders>
            <w:shd w:val="clear" w:color="auto" w:fill="auto"/>
            <w:noWrap/>
            <w:vAlign w:val="bottom"/>
            <w:hideMark/>
          </w:tcPr>
          <w:p w14:paraId="09CB5A17"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 xml:space="preserve">0,81 </w:t>
            </w:r>
          </w:p>
        </w:tc>
        <w:tc>
          <w:tcPr>
            <w:tcW w:w="992" w:type="dxa"/>
            <w:tcBorders>
              <w:top w:val="nil"/>
              <w:left w:val="nil"/>
              <w:bottom w:val="single" w:sz="4" w:space="0" w:color="auto"/>
              <w:right w:val="single" w:sz="4" w:space="0" w:color="auto"/>
            </w:tcBorders>
            <w:shd w:val="clear" w:color="auto" w:fill="auto"/>
            <w:noWrap/>
            <w:vAlign w:val="bottom"/>
            <w:hideMark/>
          </w:tcPr>
          <w:p w14:paraId="594BE026"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349</w:t>
            </w:r>
          </w:p>
        </w:tc>
        <w:tc>
          <w:tcPr>
            <w:tcW w:w="851" w:type="dxa"/>
            <w:tcBorders>
              <w:top w:val="nil"/>
              <w:left w:val="nil"/>
              <w:bottom w:val="single" w:sz="4" w:space="0" w:color="auto"/>
              <w:right w:val="single" w:sz="4" w:space="0" w:color="auto"/>
            </w:tcBorders>
            <w:shd w:val="clear" w:color="auto" w:fill="auto"/>
            <w:noWrap/>
            <w:vAlign w:val="bottom"/>
            <w:hideMark/>
          </w:tcPr>
          <w:p w14:paraId="4EE2E9B2"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530</w:t>
            </w:r>
          </w:p>
        </w:tc>
        <w:tc>
          <w:tcPr>
            <w:tcW w:w="697" w:type="dxa"/>
            <w:tcBorders>
              <w:top w:val="nil"/>
              <w:left w:val="nil"/>
              <w:bottom w:val="single" w:sz="4" w:space="0" w:color="auto"/>
              <w:right w:val="single" w:sz="4" w:space="0" w:color="auto"/>
            </w:tcBorders>
            <w:shd w:val="clear" w:color="auto" w:fill="auto"/>
            <w:noWrap/>
            <w:vAlign w:val="bottom"/>
            <w:hideMark/>
          </w:tcPr>
          <w:p w14:paraId="722C2DF9"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-181</w:t>
            </w:r>
          </w:p>
        </w:tc>
        <w:tc>
          <w:tcPr>
            <w:tcW w:w="711" w:type="dxa"/>
            <w:tcBorders>
              <w:top w:val="nil"/>
              <w:left w:val="nil"/>
              <w:bottom w:val="single" w:sz="4" w:space="0" w:color="auto"/>
              <w:right w:val="single" w:sz="4" w:space="0" w:color="auto"/>
            </w:tcBorders>
            <w:shd w:val="clear" w:color="auto" w:fill="auto"/>
            <w:noWrap/>
            <w:vAlign w:val="bottom"/>
            <w:hideMark/>
          </w:tcPr>
          <w:p w14:paraId="23ECA14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1.269</w:t>
            </w:r>
          </w:p>
        </w:tc>
        <w:tc>
          <w:tcPr>
            <w:tcW w:w="882" w:type="dxa"/>
            <w:tcBorders>
              <w:top w:val="nil"/>
              <w:left w:val="nil"/>
              <w:bottom w:val="single" w:sz="4" w:space="0" w:color="auto"/>
              <w:right w:val="single" w:sz="4" w:space="0" w:color="auto"/>
            </w:tcBorders>
            <w:shd w:val="clear" w:color="auto" w:fill="auto"/>
            <w:noWrap/>
            <w:vAlign w:val="bottom"/>
            <w:hideMark/>
          </w:tcPr>
          <w:p w14:paraId="47F398A0"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1.051</w:t>
            </w:r>
          </w:p>
        </w:tc>
        <w:tc>
          <w:tcPr>
            <w:tcW w:w="850" w:type="dxa"/>
            <w:tcBorders>
              <w:top w:val="nil"/>
              <w:left w:val="nil"/>
              <w:bottom w:val="single" w:sz="4" w:space="0" w:color="auto"/>
              <w:right w:val="single" w:sz="4" w:space="0" w:color="auto"/>
            </w:tcBorders>
            <w:shd w:val="clear" w:color="auto" w:fill="auto"/>
            <w:noWrap/>
            <w:vAlign w:val="bottom"/>
            <w:hideMark/>
          </w:tcPr>
          <w:p w14:paraId="673313A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218</w:t>
            </w:r>
          </w:p>
        </w:tc>
        <w:tc>
          <w:tcPr>
            <w:tcW w:w="658" w:type="dxa"/>
            <w:tcBorders>
              <w:top w:val="nil"/>
              <w:left w:val="nil"/>
              <w:bottom w:val="single" w:sz="4" w:space="0" w:color="auto"/>
              <w:right w:val="single" w:sz="4" w:space="0" w:color="auto"/>
            </w:tcBorders>
            <w:shd w:val="clear" w:color="auto" w:fill="auto"/>
            <w:noWrap/>
            <w:vAlign w:val="bottom"/>
            <w:hideMark/>
          </w:tcPr>
          <w:p w14:paraId="2D86E715"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447</w:t>
            </w:r>
          </w:p>
        </w:tc>
        <w:tc>
          <w:tcPr>
            <w:tcW w:w="819" w:type="dxa"/>
            <w:tcBorders>
              <w:top w:val="nil"/>
              <w:left w:val="nil"/>
              <w:bottom w:val="single" w:sz="4" w:space="0" w:color="auto"/>
              <w:right w:val="single" w:sz="4" w:space="0" w:color="auto"/>
            </w:tcBorders>
            <w:shd w:val="clear" w:color="auto" w:fill="auto"/>
            <w:noWrap/>
            <w:vAlign w:val="bottom"/>
            <w:hideMark/>
          </w:tcPr>
          <w:p w14:paraId="2B5BE78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170</w:t>
            </w:r>
          </w:p>
        </w:tc>
        <w:tc>
          <w:tcPr>
            <w:tcW w:w="876" w:type="dxa"/>
            <w:tcBorders>
              <w:top w:val="nil"/>
              <w:left w:val="nil"/>
              <w:bottom w:val="single" w:sz="4" w:space="0" w:color="auto"/>
              <w:right w:val="single" w:sz="4" w:space="0" w:color="auto"/>
            </w:tcBorders>
            <w:shd w:val="clear" w:color="auto" w:fill="auto"/>
            <w:noWrap/>
            <w:vAlign w:val="bottom"/>
            <w:hideMark/>
          </w:tcPr>
          <w:p w14:paraId="7FCEB44E"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277</w:t>
            </w:r>
          </w:p>
        </w:tc>
        <w:tc>
          <w:tcPr>
            <w:tcW w:w="658" w:type="dxa"/>
            <w:tcBorders>
              <w:top w:val="nil"/>
              <w:left w:val="nil"/>
              <w:bottom w:val="single" w:sz="4" w:space="0" w:color="auto"/>
              <w:right w:val="single" w:sz="4" w:space="0" w:color="auto"/>
            </w:tcBorders>
            <w:shd w:val="clear" w:color="auto" w:fill="auto"/>
            <w:noWrap/>
            <w:vAlign w:val="bottom"/>
            <w:hideMark/>
          </w:tcPr>
          <w:p w14:paraId="37E81B5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822</w:t>
            </w:r>
          </w:p>
        </w:tc>
        <w:tc>
          <w:tcPr>
            <w:tcW w:w="851" w:type="dxa"/>
            <w:tcBorders>
              <w:top w:val="nil"/>
              <w:left w:val="nil"/>
              <w:bottom w:val="single" w:sz="4" w:space="0" w:color="auto"/>
              <w:right w:val="single" w:sz="4" w:space="0" w:color="auto"/>
            </w:tcBorders>
            <w:shd w:val="clear" w:color="auto" w:fill="auto"/>
            <w:noWrap/>
            <w:vAlign w:val="bottom"/>
            <w:hideMark/>
          </w:tcPr>
          <w:p w14:paraId="5E6E582F"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881</w:t>
            </w:r>
          </w:p>
        </w:tc>
        <w:tc>
          <w:tcPr>
            <w:tcW w:w="567" w:type="dxa"/>
            <w:tcBorders>
              <w:top w:val="nil"/>
              <w:left w:val="nil"/>
              <w:bottom w:val="single" w:sz="4" w:space="0" w:color="auto"/>
              <w:right w:val="single" w:sz="4" w:space="0" w:color="auto"/>
            </w:tcBorders>
            <w:shd w:val="clear" w:color="auto" w:fill="auto"/>
            <w:noWrap/>
            <w:vAlign w:val="bottom"/>
            <w:hideMark/>
          </w:tcPr>
          <w:p w14:paraId="4A39F304"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-59</w:t>
            </w:r>
          </w:p>
        </w:tc>
        <w:tc>
          <w:tcPr>
            <w:tcW w:w="854" w:type="dxa"/>
            <w:gridSpan w:val="2"/>
            <w:tcBorders>
              <w:top w:val="nil"/>
              <w:left w:val="nil"/>
              <w:bottom w:val="single" w:sz="4" w:space="0" w:color="auto"/>
              <w:right w:val="single" w:sz="4" w:space="0" w:color="auto"/>
            </w:tcBorders>
            <w:shd w:val="clear" w:color="auto" w:fill="auto"/>
            <w:noWrap/>
            <w:vAlign w:val="bottom"/>
            <w:hideMark/>
          </w:tcPr>
          <w:p w14:paraId="2C2CC88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1.118</w:t>
            </w:r>
          </w:p>
        </w:tc>
        <w:tc>
          <w:tcPr>
            <w:tcW w:w="533" w:type="dxa"/>
            <w:gridSpan w:val="2"/>
            <w:tcBorders>
              <w:top w:val="nil"/>
              <w:left w:val="nil"/>
              <w:bottom w:val="single" w:sz="4" w:space="0" w:color="auto"/>
              <w:right w:val="single" w:sz="4" w:space="0" w:color="auto"/>
            </w:tcBorders>
            <w:shd w:val="clear" w:color="auto" w:fill="auto"/>
            <w:noWrap/>
            <w:vAlign w:val="bottom"/>
            <w:hideMark/>
          </w:tcPr>
          <w:p w14:paraId="4D15C858"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7B3C7FC" w14:textId="77777777" w:rsidR="00BA1728" w:rsidRPr="00BA1728" w:rsidRDefault="00BA1728" w:rsidP="00BA1728">
            <w:pPr>
              <w:spacing w:line="240" w:lineRule="auto"/>
              <w:jc w:val="right"/>
              <w:rPr>
                <w:rFonts w:eastAsia="Times New Roman" w:cs="Calibri"/>
                <w:color w:val="000000"/>
                <w:sz w:val="14"/>
                <w:szCs w:val="14"/>
                <w:lang w:val="de-AT" w:eastAsia="de-AT"/>
              </w:rPr>
            </w:pPr>
            <w:r w:rsidRPr="00BA1728">
              <w:rPr>
                <w:rFonts w:eastAsia="Times New Roman" w:cs="Calibri"/>
                <w:color w:val="000000"/>
                <w:sz w:val="14"/>
                <w:szCs w:val="14"/>
                <w:lang w:val="de-AT" w:eastAsia="de-AT"/>
              </w:rPr>
              <w:t>41.765</w:t>
            </w:r>
          </w:p>
        </w:tc>
      </w:tr>
    </w:tbl>
    <w:p w14:paraId="03E1F909" w14:textId="77777777" w:rsidR="00BA1728" w:rsidRPr="00BA1728" w:rsidRDefault="00BA1728" w:rsidP="00BA1728">
      <w:pPr>
        <w:rPr>
          <w:u w:val="single"/>
        </w:rPr>
      </w:pPr>
    </w:p>
    <w:sectPr w:rsidR="00BA1728" w:rsidRPr="00BA1728" w:rsidSect="00BA1728">
      <w:pgSz w:w="16838" w:h="11906" w:orient="landscape"/>
      <w:pgMar w:top="1418" w:right="2642" w:bottom="170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36140612"/>
      <w:docPartObj>
        <w:docPartGallery w:val="Page Numbers (Bottom of Page)"/>
        <w:docPartUnique/>
      </w:docPartObj>
    </w:sdtPr>
    <w:sdtEndPr/>
    <w:sdtContent>
      <w:sdt>
        <w:sdtPr>
          <w:rPr>
            <w:sz w:val="14"/>
            <w:szCs w:val="14"/>
          </w:rPr>
          <w:id w:val="1021177321"/>
          <w:docPartObj>
            <w:docPartGallery w:val="Page Numbers (Top of Page)"/>
            <w:docPartUnique/>
          </w:docPartObj>
        </w:sdtPr>
        <w:sdtEndPr/>
        <w:sdtContent>
          <w:p w14:paraId="047A7708" w14:textId="77777777" w:rsidR="003F4A24" w:rsidRPr="00E70F08" w:rsidRDefault="003F4A24" w:rsidP="00A130DD">
            <w:pPr>
              <w:pStyle w:val="Fuzeile"/>
              <w:jc w:val="right"/>
              <w:rPr>
                <w:sz w:val="14"/>
                <w:szCs w:val="14"/>
              </w:rPr>
            </w:pPr>
            <w:r w:rsidRPr="00E70F08">
              <w:rPr>
                <w:sz w:val="14"/>
                <w:szCs w:val="14"/>
              </w:rPr>
              <w:t xml:space="preserve">Seite </w:t>
            </w:r>
            <w:r w:rsidRPr="00E70F08">
              <w:rPr>
                <w:b/>
                <w:sz w:val="14"/>
                <w:szCs w:val="14"/>
              </w:rPr>
              <w:fldChar w:fldCharType="begin"/>
            </w:r>
            <w:r w:rsidRPr="00E70F08">
              <w:rPr>
                <w:b/>
                <w:sz w:val="14"/>
                <w:szCs w:val="14"/>
              </w:rPr>
              <w:instrText>PAGE</w:instrText>
            </w:r>
            <w:r w:rsidRPr="00E70F08">
              <w:rPr>
                <w:b/>
                <w:sz w:val="14"/>
                <w:szCs w:val="14"/>
              </w:rPr>
              <w:fldChar w:fldCharType="separate"/>
            </w:r>
            <w:r w:rsidR="00080BC9" w:rsidRPr="00E70F08">
              <w:rPr>
                <w:b/>
                <w:noProof/>
                <w:sz w:val="14"/>
                <w:szCs w:val="14"/>
              </w:rPr>
              <w:t>2</w:t>
            </w:r>
            <w:r w:rsidRPr="00E70F08">
              <w:rPr>
                <w:b/>
                <w:sz w:val="14"/>
                <w:szCs w:val="14"/>
              </w:rPr>
              <w:fldChar w:fldCharType="end"/>
            </w:r>
            <w:r w:rsidRPr="00E70F08">
              <w:rPr>
                <w:sz w:val="14"/>
                <w:szCs w:val="14"/>
              </w:rPr>
              <w:t xml:space="preserve"> von </w:t>
            </w:r>
            <w:r w:rsidRPr="00E70F08">
              <w:rPr>
                <w:b/>
                <w:sz w:val="14"/>
                <w:szCs w:val="14"/>
              </w:rPr>
              <w:fldChar w:fldCharType="begin"/>
            </w:r>
            <w:r w:rsidRPr="00E70F08">
              <w:rPr>
                <w:b/>
                <w:sz w:val="14"/>
                <w:szCs w:val="14"/>
              </w:rPr>
              <w:instrText>NUMPAGES</w:instrText>
            </w:r>
            <w:r w:rsidRPr="00E70F08">
              <w:rPr>
                <w:b/>
                <w:sz w:val="14"/>
                <w:szCs w:val="14"/>
              </w:rPr>
              <w:fldChar w:fldCharType="separate"/>
            </w:r>
            <w:r w:rsidR="00080BC9" w:rsidRPr="00E70F08">
              <w:rPr>
                <w:b/>
                <w:noProof/>
                <w:sz w:val="14"/>
                <w:szCs w:val="14"/>
              </w:rPr>
              <w:t>3</w:t>
            </w:r>
            <w:r w:rsidRPr="00E70F08">
              <w:rPr>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 w:id="1">
    <w:p w14:paraId="563BF923" w14:textId="77777777" w:rsidR="00E11E86" w:rsidRDefault="00E11E86" w:rsidP="00E11E86">
      <w:pPr>
        <w:pStyle w:val="Funotentext"/>
        <w:spacing w:line="240" w:lineRule="auto"/>
      </w:pPr>
      <w:r>
        <w:rPr>
          <w:rStyle w:val="Funotenzeichen"/>
        </w:rPr>
        <w:footnoteRef/>
      </w:r>
      <w:r>
        <w:t xml:space="preserve"> </w:t>
      </w:r>
      <w:r w:rsidRPr="009A25DF">
        <w:rPr>
          <w:sz w:val="16"/>
          <w:szCs w:val="16"/>
        </w:rPr>
        <w:t>Stand 1.1.</w:t>
      </w:r>
      <w:r>
        <w:rPr>
          <w:sz w:val="16"/>
          <w:szCs w:val="16"/>
        </w:rPr>
        <w:t>2023; Quelle:</w:t>
      </w:r>
      <w:r w:rsidRPr="00D46EAF">
        <w:rPr>
          <w:sz w:val="16"/>
          <w:szCs w:val="16"/>
        </w:rPr>
        <w:t xml:space="preserve"> STATISTIK AUSTRIA, Statistik des Bevölkerungsstandes, Statistik der natürlichen Bevölkerungsbewegung, Wanderungsstatistik. Erstellt am 01.06.2023.</w:t>
      </w:r>
      <w:r w:rsidRPr="009A25DF">
        <w:rPr>
          <w:sz w:val="16"/>
          <w:szCs w:val="16"/>
        </w:rPr>
        <w:t xml:space="preserve">vorläufige Ergebnisse; </w:t>
      </w:r>
      <w:r>
        <w:rPr>
          <w:sz w:val="16"/>
          <w:szCs w:val="16"/>
        </w:rPr>
        <w:br/>
      </w:r>
      <w:r w:rsidRPr="009A25DF">
        <w:rPr>
          <w:sz w:val="16"/>
          <w:szCs w:val="16"/>
        </w:rPr>
        <w:t xml:space="preserve">dazu kommen 58.842 Nebenwohnsitze; </w:t>
      </w:r>
      <w:r>
        <w:rPr>
          <w:sz w:val="16"/>
          <w:szCs w:val="16"/>
        </w:rPr>
        <w:br/>
      </w:r>
      <w:r w:rsidRPr="009A25DF">
        <w:rPr>
          <w:sz w:val="16"/>
          <w:szCs w:val="16"/>
        </w:rPr>
        <w:t xml:space="preserve">Wegzüge </w:t>
      </w:r>
      <w:r>
        <w:rPr>
          <w:sz w:val="16"/>
          <w:szCs w:val="16"/>
        </w:rPr>
        <w:t xml:space="preserve">seit 2009 </w:t>
      </w:r>
      <w:r w:rsidRPr="009A25DF">
        <w:rPr>
          <w:sz w:val="16"/>
          <w:szCs w:val="16"/>
        </w:rPr>
        <w:t>im Vergleich: 6</w:t>
      </w:r>
      <w:r>
        <w:rPr>
          <w:sz w:val="16"/>
          <w:szCs w:val="16"/>
        </w:rPr>
        <w:t>5</w:t>
      </w:r>
      <w:r w:rsidRPr="009A25DF">
        <w:rPr>
          <w:sz w:val="16"/>
          <w:szCs w:val="16"/>
        </w:rPr>
        <w:t>.000.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581329704" name="Grafik 1581329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8"/>
  </w:num>
  <w:num w:numId="2" w16cid:durableId="927664116">
    <w:abstractNumId w:val="2"/>
  </w:num>
  <w:num w:numId="3" w16cid:durableId="1085300162">
    <w:abstractNumId w:val="4"/>
  </w:num>
  <w:num w:numId="4" w16cid:durableId="1777821396">
    <w:abstractNumId w:val="9"/>
  </w:num>
  <w:num w:numId="5" w16cid:durableId="1299529250">
    <w:abstractNumId w:val="5"/>
  </w:num>
  <w:num w:numId="6" w16cid:durableId="990907176">
    <w:abstractNumId w:val="3"/>
  </w:num>
  <w:num w:numId="7" w16cid:durableId="518590678">
    <w:abstractNumId w:val="1"/>
  </w:num>
  <w:num w:numId="8" w16cid:durableId="1187913813">
    <w:abstractNumId w:val="6"/>
  </w:num>
  <w:num w:numId="9" w16cid:durableId="866721593">
    <w:abstractNumId w:val="0"/>
  </w:num>
  <w:num w:numId="10" w16cid:durableId="140078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13069"/>
    <w:rsid w:val="000130B7"/>
    <w:rsid w:val="0002455E"/>
    <w:rsid w:val="000278B8"/>
    <w:rsid w:val="0004469F"/>
    <w:rsid w:val="00044B97"/>
    <w:rsid w:val="000808E5"/>
    <w:rsid w:val="00080BC9"/>
    <w:rsid w:val="00083521"/>
    <w:rsid w:val="000A1E72"/>
    <w:rsid w:val="000A333D"/>
    <w:rsid w:val="000A3B7D"/>
    <w:rsid w:val="000A4D62"/>
    <w:rsid w:val="000A5C8E"/>
    <w:rsid w:val="000B2EBD"/>
    <w:rsid w:val="000C6A50"/>
    <w:rsid w:val="000D1C12"/>
    <w:rsid w:val="000D2C9E"/>
    <w:rsid w:val="000D47C6"/>
    <w:rsid w:val="000E28F1"/>
    <w:rsid w:val="000F1340"/>
    <w:rsid w:val="000F2F3D"/>
    <w:rsid w:val="00111163"/>
    <w:rsid w:val="0013108A"/>
    <w:rsid w:val="00131161"/>
    <w:rsid w:val="00134758"/>
    <w:rsid w:val="00135310"/>
    <w:rsid w:val="001368A3"/>
    <w:rsid w:val="00140D36"/>
    <w:rsid w:val="0014237E"/>
    <w:rsid w:val="00146022"/>
    <w:rsid w:val="00152072"/>
    <w:rsid w:val="0015496D"/>
    <w:rsid w:val="00154C0F"/>
    <w:rsid w:val="0015633A"/>
    <w:rsid w:val="001577AC"/>
    <w:rsid w:val="00161465"/>
    <w:rsid w:val="00183908"/>
    <w:rsid w:val="001A653C"/>
    <w:rsid w:val="001B059A"/>
    <w:rsid w:val="001C0FEE"/>
    <w:rsid w:val="001C2A98"/>
    <w:rsid w:val="001D0587"/>
    <w:rsid w:val="001F28BA"/>
    <w:rsid w:val="001F45E7"/>
    <w:rsid w:val="00203434"/>
    <w:rsid w:val="00207307"/>
    <w:rsid w:val="002141DC"/>
    <w:rsid w:val="00232ADA"/>
    <w:rsid w:val="00237B61"/>
    <w:rsid w:val="002444EE"/>
    <w:rsid w:val="00261FE6"/>
    <w:rsid w:val="00264505"/>
    <w:rsid w:val="002705AE"/>
    <w:rsid w:val="00281AC9"/>
    <w:rsid w:val="002855AD"/>
    <w:rsid w:val="00294CBE"/>
    <w:rsid w:val="00297F74"/>
    <w:rsid w:val="002B6B63"/>
    <w:rsid w:val="002C6CF0"/>
    <w:rsid w:val="002E2E94"/>
    <w:rsid w:val="002E75A3"/>
    <w:rsid w:val="002F4923"/>
    <w:rsid w:val="00300DE9"/>
    <w:rsid w:val="003022C9"/>
    <w:rsid w:val="00306831"/>
    <w:rsid w:val="003137E7"/>
    <w:rsid w:val="00315C37"/>
    <w:rsid w:val="0032322A"/>
    <w:rsid w:val="00333D1A"/>
    <w:rsid w:val="00352FC8"/>
    <w:rsid w:val="00366349"/>
    <w:rsid w:val="00370ECF"/>
    <w:rsid w:val="003844EA"/>
    <w:rsid w:val="00396F5D"/>
    <w:rsid w:val="003974F6"/>
    <w:rsid w:val="003B1164"/>
    <w:rsid w:val="003B58F4"/>
    <w:rsid w:val="003C1A17"/>
    <w:rsid w:val="003E35E2"/>
    <w:rsid w:val="003E4717"/>
    <w:rsid w:val="003F4A24"/>
    <w:rsid w:val="00405730"/>
    <w:rsid w:val="00410981"/>
    <w:rsid w:val="00414C54"/>
    <w:rsid w:val="00416C48"/>
    <w:rsid w:val="00432843"/>
    <w:rsid w:val="0044195E"/>
    <w:rsid w:val="00456FB2"/>
    <w:rsid w:val="0046557F"/>
    <w:rsid w:val="004827A2"/>
    <w:rsid w:val="004A654C"/>
    <w:rsid w:val="004B32A5"/>
    <w:rsid w:val="004C1B9C"/>
    <w:rsid w:val="004C22AF"/>
    <w:rsid w:val="004D4101"/>
    <w:rsid w:val="004D5ED6"/>
    <w:rsid w:val="004F7138"/>
    <w:rsid w:val="00500E3A"/>
    <w:rsid w:val="00506ABC"/>
    <w:rsid w:val="00507244"/>
    <w:rsid w:val="0054306B"/>
    <w:rsid w:val="005641E6"/>
    <w:rsid w:val="00564477"/>
    <w:rsid w:val="005719B9"/>
    <w:rsid w:val="00577902"/>
    <w:rsid w:val="005802A3"/>
    <w:rsid w:val="005805CC"/>
    <w:rsid w:val="00592133"/>
    <w:rsid w:val="00594B34"/>
    <w:rsid w:val="005A206E"/>
    <w:rsid w:val="005A49D5"/>
    <w:rsid w:val="005B7110"/>
    <w:rsid w:val="005D659A"/>
    <w:rsid w:val="005E62F3"/>
    <w:rsid w:val="005E6EF2"/>
    <w:rsid w:val="00614077"/>
    <w:rsid w:val="00622F7F"/>
    <w:rsid w:val="00627827"/>
    <w:rsid w:val="0064181E"/>
    <w:rsid w:val="00660EDF"/>
    <w:rsid w:val="00684294"/>
    <w:rsid w:val="00687FA9"/>
    <w:rsid w:val="006C70D9"/>
    <w:rsid w:val="006D0F2F"/>
    <w:rsid w:val="006D2025"/>
    <w:rsid w:val="006D2B5D"/>
    <w:rsid w:val="006D50BD"/>
    <w:rsid w:val="006E1818"/>
    <w:rsid w:val="006F6285"/>
    <w:rsid w:val="00705517"/>
    <w:rsid w:val="0070627F"/>
    <w:rsid w:val="007171EF"/>
    <w:rsid w:val="00720650"/>
    <w:rsid w:val="00723E23"/>
    <w:rsid w:val="00727A31"/>
    <w:rsid w:val="007329E6"/>
    <w:rsid w:val="0075762C"/>
    <w:rsid w:val="00766E79"/>
    <w:rsid w:val="00775C07"/>
    <w:rsid w:val="00792D71"/>
    <w:rsid w:val="00794CE7"/>
    <w:rsid w:val="0079504C"/>
    <w:rsid w:val="0079586D"/>
    <w:rsid w:val="00797538"/>
    <w:rsid w:val="007B5A26"/>
    <w:rsid w:val="007C7485"/>
    <w:rsid w:val="007F19C3"/>
    <w:rsid w:val="00803E8E"/>
    <w:rsid w:val="00805675"/>
    <w:rsid w:val="0081600A"/>
    <w:rsid w:val="00826227"/>
    <w:rsid w:val="00841C22"/>
    <w:rsid w:val="0084548E"/>
    <w:rsid w:val="008515DD"/>
    <w:rsid w:val="00861F4A"/>
    <w:rsid w:val="00862BF2"/>
    <w:rsid w:val="00865696"/>
    <w:rsid w:val="00872D59"/>
    <w:rsid w:val="008836CC"/>
    <w:rsid w:val="008867FD"/>
    <w:rsid w:val="00894C91"/>
    <w:rsid w:val="008A128F"/>
    <w:rsid w:val="008A5F67"/>
    <w:rsid w:val="008C6B0B"/>
    <w:rsid w:val="008C73D4"/>
    <w:rsid w:val="008D4D98"/>
    <w:rsid w:val="008D7363"/>
    <w:rsid w:val="008E42ED"/>
    <w:rsid w:val="008F099B"/>
    <w:rsid w:val="00922D0A"/>
    <w:rsid w:val="00932C89"/>
    <w:rsid w:val="00936173"/>
    <w:rsid w:val="009375F1"/>
    <w:rsid w:val="00937C6A"/>
    <w:rsid w:val="00956268"/>
    <w:rsid w:val="00960696"/>
    <w:rsid w:val="0096463C"/>
    <w:rsid w:val="0097280C"/>
    <w:rsid w:val="00975C51"/>
    <w:rsid w:val="009839BF"/>
    <w:rsid w:val="009A25DF"/>
    <w:rsid w:val="009B02BE"/>
    <w:rsid w:val="009B10BB"/>
    <w:rsid w:val="009B3A35"/>
    <w:rsid w:val="009B5FA4"/>
    <w:rsid w:val="009C1818"/>
    <w:rsid w:val="009C2DC8"/>
    <w:rsid w:val="009C78A0"/>
    <w:rsid w:val="009D4845"/>
    <w:rsid w:val="009E44C9"/>
    <w:rsid w:val="00A130DD"/>
    <w:rsid w:val="00A20520"/>
    <w:rsid w:val="00A222E4"/>
    <w:rsid w:val="00A3517C"/>
    <w:rsid w:val="00A46DF2"/>
    <w:rsid w:val="00A6095D"/>
    <w:rsid w:val="00A7145C"/>
    <w:rsid w:val="00A7640E"/>
    <w:rsid w:val="00A84D2A"/>
    <w:rsid w:val="00A87FDF"/>
    <w:rsid w:val="00A92312"/>
    <w:rsid w:val="00A96623"/>
    <w:rsid w:val="00A977D4"/>
    <w:rsid w:val="00A9799E"/>
    <w:rsid w:val="00AA2110"/>
    <w:rsid w:val="00AA32D4"/>
    <w:rsid w:val="00AA4D08"/>
    <w:rsid w:val="00AA671B"/>
    <w:rsid w:val="00AB20D7"/>
    <w:rsid w:val="00AE4A29"/>
    <w:rsid w:val="00AF2294"/>
    <w:rsid w:val="00AF34AC"/>
    <w:rsid w:val="00B00CA1"/>
    <w:rsid w:val="00B03162"/>
    <w:rsid w:val="00B26C37"/>
    <w:rsid w:val="00B31DBC"/>
    <w:rsid w:val="00B41AC1"/>
    <w:rsid w:val="00B71C9E"/>
    <w:rsid w:val="00B726CA"/>
    <w:rsid w:val="00B86209"/>
    <w:rsid w:val="00B934FA"/>
    <w:rsid w:val="00BA1728"/>
    <w:rsid w:val="00BA5850"/>
    <w:rsid w:val="00BB7885"/>
    <w:rsid w:val="00BC7166"/>
    <w:rsid w:val="00BC7B2F"/>
    <w:rsid w:val="00BE4361"/>
    <w:rsid w:val="00BF0255"/>
    <w:rsid w:val="00BF0E6E"/>
    <w:rsid w:val="00BF31DF"/>
    <w:rsid w:val="00C011ED"/>
    <w:rsid w:val="00C04059"/>
    <w:rsid w:val="00C60552"/>
    <w:rsid w:val="00C624B9"/>
    <w:rsid w:val="00C72C09"/>
    <w:rsid w:val="00C74DDF"/>
    <w:rsid w:val="00C76FBF"/>
    <w:rsid w:val="00CB029A"/>
    <w:rsid w:val="00CB553B"/>
    <w:rsid w:val="00CC2644"/>
    <w:rsid w:val="00CC7851"/>
    <w:rsid w:val="00CD1ABF"/>
    <w:rsid w:val="00CD43CD"/>
    <w:rsid w:val="00CE1504"/>
    <w:rsid w:val="00D03FC8"/>
    <w:rsid w:val="00D0463D"/>
    <w:rsid w:val="00D17165"/>
    <w:rsid w:val="00D3182F"/>
    <w:rsid w:val="00D3422A"/>
    <w:rsid w:val="00D46EAF"/>
    <w:rsid w:val="00D47078"/>
    <w:rsid w:val="00D93A72"/>
    <w:rsid w:val="00D96865"/>
    <w:rsid w:val="00DA6DE0"/>
    <w:rsid w:val="00DC63D4"/>
    <w:rsid w:val="00DD0686"/>
    <w:rsid w:val="00DD0987"/>
    <w:rsid w:val="00DE21B8"/>
    <w:rsid w:val="00E11E86"/>
    <w:rsid w:val="00E1791D"/>
    <w:rsid w:val="00E233CB"/>
    <w:rsid w:val="00E24BA9"/>
    <w:rsid w:val="00E25871"/>
    <w:rsid w:val="00E332C4"/>
    <w:rsid w:val="00E343C3"/>
    <w:rsid w:val="00E461D3"/>
    <w:rsid w:val="00E466B3"/>
    <w:rsid w:val="00E5404B"/>
    <w:rsid w:val="00E61DD6"/>
    <w:rsid w:val="00E658BF"/>
    <w:rsid w:val="00E70F08"/>
    <w:rsid w:val="00E8541E"/>
    <w:rsid w:val="00EB5F8B"/>
    <w:rsid w:val="00EB77CC"/>
    <w:rsid w:val="00EB7BED"/>
    <w:rsid w:val="00EC3447"/>
    <w:rsid w:val="00ED7F73"/>
    <w:rsid w:val="00F13434"/>
    <w:rsid w:val="00F15EAF"/>
    <w:rsid w:val="00F2068B"/>
    <w:rsid w:val="00F22E72"/>
    <w:rsid w:val="00F23747"/>
    <w:rsid w:val="00F324EC"/>
    <w:rsid w:val="00F3560E"/>
    <w:rsid w:val="00F53CE1"/>
    <w:rsid w:val="00F63C92"/>
    <w:rsid w:val="00F86BCA"/>
    <w:rsid w:val="00F91502"/>
    <w:rsid w:val="00F943C2"/>
    <w:rsid w:val="00F96A30"/>
    <w:rsid w:val="00FA1EFA"/>
    <w:rsid w:val="00FA4FD3"/>
    <w:rsid w:val="00FA6214"/>
    <w:rsid w:val="00FD167A"/>
    <w:rsid w:val="00FF60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FEE"/>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1497526461">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 w:id="20504500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WohnenImWaldviert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ohnen-im-waldviertel.at/pres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wohnen-im-waldviertel.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ohnen-im-waldviertel.a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witter.com/Waldviert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6698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5</cp:revision>
  <cp:lastPrinted>2023-06-02T09:01:00Z</cp:lastPrinted>
  <dcterms:created xsi:type="dcterms:W3CDTF">2023-06-02T08:48:00Z</dcterms:created>
  <dcterms:modified xsi:type="dcterms:W3CDTF">2023-06-02T09:02:00Z</dcterms:modified>
  <cp:category>Öffentlichkeitsarbeit</cp:category>
</cp:coreProperties>
</file>